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38AAB" w14:textId="77777777" w:rsidR="00821111" w:rsidRPr="00387A67" w:rsidRDefault="004F7BFE" w:rsidP="00821111">
      <w:pPr>
        <w:rPr>
          <w:rFonts w:ascii="Arial" w:hAnsi="Arial" w:cs="Arial"/>
          <w:b/>
          <w:sz w:val="32"/>
          <w:szCs w:val="32"/>
          <w:lang w:val="et-EE"/>
        </w:rPr>
      </w:pPr>
      <w:r w:rsidRPr="00387A67">
        <w:rPr>
          <w:rFonts w:ascii="Arial" w:hAnsi="Arial" w:cs="Arial"/>
          <w:b/>
          <w:sz w:val="32"/>
          <w:szCs w:val="32"/>
          <w:lang w:val="et-EE"/>
        </w:rPr>
        <w:t>Kiviõli ühinemispiirkonna rahvastikuprognoosi seletuskiri</w:t>
      </w:r>
    </w:p>
    <w:p w14:paraId="085B9C57" w14:textId="77777777" w:rsidR="00821111" w:rsidRPr="00387A67" w:rsidRDefault="00821111" w:rsidP="00821111">
      <w:pPr>
        <w:widowControl w:val="0"/>
        <w:autoSpaceDE w:val="0"/>
        <w:autoSpaceDN w:val="0"/>
        <w:adjustRightInd w:val="0"/>
        <w:spacing w:line="280" w:lineRule="atLeast"/>
        <w:jc w:val="both"/>
        <w:rPr>
          <w:rFonts w:ascii="Times" w:hAnsi="Times" w:cs="Times"/>
          <w:lang w:val="et-EE"/>
        </w:rPr>
      </w:pPr>
    </w:p>
    <w:p w14:paraId="3D895D65" w14:textId="77777777" w:rsidR="00194C80" w:rsidRPr="00387A67" w:rsidRDefault="00083C69" w:rsidP="00194C80">
      <w:pPr>
        <w:jc w:val="both"/>
        <w:rPr>
          <w:rFonts w:eastAsia="Times New Roman"/>
          <w:lang w:val="et-EE" w:eastAsia="et-EE"/>
        </w:rPr>
      </w:pPr>
      <w:r w:rsidRPr="00387A67">
        <w:rPr>
          <w:rFonts w:eastAsia="Times New Roman"/>
          <w:lang w:val="et-EE" w:eastAsia="et-EE"/>
        </w:rPr>
        <w:t>Järgnev ülevaade</w:t>
      </w:r>
      <w:r w:rsidR="00194C80" w:rsidRPr="00387A67">
        <w:rPr>
          <w:rFonts w:eastAsia="Times New Roman"/>
          <w:lang w:val="et-EE" w:eastAsia="et-EE"/>
        </w:rPr>
        <w:t xml:space="preserve"> Kiviõli piirkonna rahvastikuarengutest</w:t>
      </w:r>
      <w:r w:rsidRPr="00387A67">
        <w:rPr>
          <w:rFonts w:eastAsia="Times New Roman"/>
          <w:lang w:val="et-EE" w:eastAsia="et-EE"/>
        </w:rPr>
        <w:t xml:space="preserve"> annab eelkõige visuaalse pildi. Esitatud on</w:t>
      </w:r>
      <w:r w:rsidR="00194C80" w:rsidRPr="00387A67">
        <w:rPr>
          <w:rFonts w:eastAsia="Times New Roman"/>
          <w:lang w:val="et-EE" w:eastAsia="et-EE"/>
        </w:rPr>
        <w:t xml:space="preserve"> analüüsi ja</w:t>
      </w:r>
      <w:r w:rsidRPr="00387A67">
        <w:rPr>
          <w:rFonts w:eastAsia="Times New Roman"/>
          <w:lang w:val="et-EE" w:eastAsia="et-EE"/>
        </w:rPr>
        <w:t xml:space="preserve"> prognoosi kokkuvõte, arvandmed ja valdav osa graafikuid on lisatud eraldi MS Excel formaadis failina.</w:t>
      </w:r>
      <w:r w:rsidR="00194C80" w:rsidRPr="00387A67">
        <w:rPr>
          <w:rFonts w:eastAsia="Times New Roman"/>
          <w:lang w:val="et-EE" w:eastAsia="et-EE"/>
        </w:rPr>
        <w:t xml:space="preserve"> </w:t>
      </w:r>
    </w:p>
    <w:p w14:paraId="59D0B079" w14:textId="77777777" w:rsidR="00194C80" w:rsidRPr="00387A67" w:rsidRDefault="00194C80" w:rsidP="00194C80">
      <w:pPr>
        <w:jc w:val="both"/>
        <w:rPr>
          <w:rFonts w:eastAsia="Times New Roman"/>
          <w:lang w:val="et-EE" w:eastAsia="et-EE"/>
        </w:rPr>
      </w:pPr>
    </w:p>
    <w:p w14:paraId="360F086B" w14:textId="77777777" w:rsidR="00194C80" w:rsidRPr="00387A67" w:rsidRDefault="00194C80" w:rsidP="00194C80">
      <w:pPr>
        <w:jc w:val="both"/>
        <w:rPr>
          <w:lang w:val="et-EE"/>
        </w:rPr>
      </w:pPr>
      <w:r w:rsidRPr="00387A67">
        <w:rPr>
          <w:lang w:val="et-EE"/>
        </w:rPr>
        <w:t xml:space="preserve">Rahvastikuanalüüsi ja -prognoosi lähtealus on Rahvastikuregistri andmed perioodi 1.01.2012 kuni 1.01.2017 kohta Kiviõli linnas, Lüganuse ja Sonda vallas. Rahvastikuregistri andmed on kohalikule omavalitsusele aluseks nii üksikisiku tulumaksu laekumisel kui ka valdava osa kohalike teenuste ja hüvede osutamisel. </w:t>
      </w:r>
    </w:p>
    <w:p w14:paraId="79C2D160" w14:textId="77777777" w:rsidR="00083C69" w:rsidRPr="00387A67" w:rsidRDefault="00083C69" w:rsidP="00821111">
      <w:pPr>
        <w:widowControl w:val="0"/>
        <w:autoSpaceDE w:val="0"/>
        <w:autoSpaceDN w:val="0"/>
        <w:adjustRightInd w:val="0"/>
        <w:spacing w:line="280" w:lineRule="atLeast"/>
        <w:jc w:val="both"/>
        <w:rPr>
          <w:rFonts w:eastAsia="Times New Roman"/>
          <w:lang w:val="et-EE" w:eastAsia="et-EE"/>
        </w:rPr>
      </w:pPr>
    </w:p>
    <w:p w14:paraId="41E74E47" w14:textId="77777777" w:rsidR="00083C69" w:rsidRPr="00387A67" w:rsidRDefault="00083C69" w:rsidP="00821111">
      <w:pPr>
        <w:widowControl w:val="0"/>
        <w:autoSpaceDE w:val="0"/>
        <w:autoSpaceDN w:val="0"/>
        <w:adjustRightInd w:val="0"/>
        <w:spacing w:line="280" w:lineRule="atLeast"/>
        <w:jc w:val="both"/>
        <w:rPr>
          <w:rFonts w:ascii="Times" w:hAnsi="Times" w:cs="Times"/>
          <w:lang w:val="et-EE"/>
        </w:rPr>
      </w:pPr>
    </w:p>
    <w:p w14:paraId="61B2E41D" w14:textId="77777777" w:rsidR="00821111" w:rsidRPr="00387A67" w:rsidRDefault="0042696A" w:rsidP="00821111">
      <w:pPr>
        <w:pStyle w:val="Pealkiri3"/>
        <w:numPr>
          <w:ilvl w:val="1"/>
          <w:numId w:val="2"/>
        </w:numPr>
        <w:jc w:val="left"/>
        <w:rPr>
          <w:b/>
          <w:color w:val="auto"/>
        </w:rPr>
      </w:pPr>
      <w:r w:rsidRPr="00387A67">
        <w:rPr>
          <w:b/>
          <w:color w:val="auto"/>
        </w:rPr>
        <w:t>Elanike arvu muutus</w:t>
      </w:r>
    </w:p>
    <w:p w14:paraId="26E62313" w14:textId="77777777" w:rsidR="00821111" w:rsidRPr="00387A67" w:rsidRDefault="00821111" w:rsidP="00821111">
      <w:pPr>
        <w:jc w:val="both"/>
        <w:rPr>
          <w:lang w:val="et-EE"/>
        </w:rPr>
      </w:pPr>
    </w:p>
    <w:p w14:paraId="65DC5103" w14:textId="77777777" w:rsidR="00821111" w:rsidRPr="00387A67" w:rsidRDefault="00821111" w:rsidP="00821111">
      <w:pPr>
        <w:jc w:val="both"/>
        <w:rPr>
          <w:lang w:val="et-EE"/>
        </w:rPr>
      </w:pPr>
    </w:p>
    <w:p w14:paraId="501CDA5F" w14:textId="77777777" w:rsidR="00821111" w:rsidRPr="00387A67" w:rsidRDefault="00821111" w:rsidP="00821111">
      <w:pPr>
        <w:jc w:val="both"/>
        <w:rPr>
          <w:lang w:val="et-EE"/>
        </w:rPr>
      </w:pPr>
      <w:r w:rsidRPr="00387A67">
        <w:rPr>
          <w:lang w:val="et-EE"/>
        </w:rPr>
        <w:t>Seis</w:t>
      </w:r>
      <w:r w:rsidR="007119A9">
        <w:rPr>
          <w:lang w:val="et-EE"/>
        </w:rPr>
        <w:t>uga 1. jaanuari 2017. aasta elas</w:t>
      </w:r>
      <w:r w:rsidRPr="00387A67">
        <w:rPr>
          <w:lang w:val="et-EE"/>
        </w:rPr>
        <w:t xml:space="preserve"> </w:t>
      </w:r>
      <w:r w:rsidR="004F7BFE" w:rsidRPr="00387A67">
        <w:rPr>
          <w:lang w:val="et-EE"/>
        </w:rPr>
        <w:t>Kiviõli piirkonnas</w:t>
      </w:r>
      <w:r w:rsidRPr="00387A67">
        <w:rPr>
          <w:lang w:val="et-EE"/>
        </w:rPr>
        <w:t xml:space="preserve"> </w:t>
      </w:r>
      <w:r w:rsidR="00AB3824" w:rsidRPr="00387A67">
        <w:rPr>
          <w:lang w:val="et-EE"/>
        </w:rPr>
        <w:t>9116 inimest, neist 5308 Kiviõli linna, 2945 Lüganuse valla ja 863 Sonda valla territooriumil.</w:t>
      </w:r>
      <w:r w:rsidR="001F14F5" w:rsidRPr="00387A67">
        <w:rPr>
          <w:lang w:val="et-EE"/>
        </w:rPr>
        <w:t xml:space="preserve"> </w:t>
      </w:r>
      <w:r w:rsidRPr="00387A67">
        <w:rPr>
          <w:lang w:val="et-EE"/>
        </w:rPr>
        <w:t>Viimasel viiel aastal</w:t>
      </w:r>
      <w:r w:rsidR="001F14F5" w:rsidRPr="00387A67">
        <w:rPr>
          <w:lang w:val="et-EE"/>
        </w:rPr>
        <w:t xml:space="preserve"> (puuduvad andmed Lüganuse, Maidla</w:t>
      </w:r>
      <w:r w:rsidR="00EA5E17" w:rsidRPr="00387A67">
        <w:rPr>
          <w:lang w:val="et-EE"/>
        </w:rPr>
        <w:t xml:space="preserve"> valla</w:t>
      </w:r>
      <w:r w:rsidR="001F14F5" w:rsidRPr="00387A67">
        <w:rPr>
          <w:lang w:val="et-EE"/>
        </w:rPr>
        <w:t xml:space="preserve"> ja</w:t>
      </w:r>
      <w:r w:rsidR="00EA5E17" w:rsidRPr="00387A67">
        <w:rPr>
          <w:lang w:val="et-EE"/>
        </w:rPr>
        <w:t xml:space="preserve"> Püssi linna ühinemise eelse aja kohta)</w:t>
      </w:r>
      <w:r w:rsidRPr="00387A67">
        <w:rPr>
          <w:lang w:val="et-EE"/>
        </w:rPr>
        <w:t xml:space="preserve"> toimunud rahvaarvu muutus on välja toodud joonisel 1. </w:t>
      </w:r>
      <w:r w:rsidR="0042696A" w:rsidRPr="00387A67">
        <w:rPr>
          <w:lang w:val="et-EE"/>
        </w:rPr>
        <w:t>Rahvaarv kõigis kolmes omavalitsuses on iga-aastaselt kahanenud.</w:t>
      </w:r>
    </w:p>
    <w:p w14:paraId="7DF25922" w14:textId="77777777" w:rsidR="00821111" w:rsidRPr="00387A67" w:rsidRDefault="00821111" w:rsidP="00821111">
      <w:pPr>
        <w:jc w:val="both"/>
        <w:rPr>
          <w:lang w:val="et-EE"/>
        </w:rPr>
      </w:pPr>
    </w:p>
    <w:p w14:paraId="55525966" w14:textId="77777777" w:rsidR="00821111" w:rsidRPr="00387A67" w:rsidRDefault="00AB3824" w:rsidP="00821111">
      <w:pPr>
        <w:jc w:val="both"/>
        <w:rPr>
          <w:lang w:val="et-EE"/>
        </w:rPr>
      </w:pPr>
      <w:r w:rsidRPr="00387A67">
        <w:rPr>
          <w:noProof/>
        </w:rPr>
        <w:drawing>
          <wp:inline distT="0" distB="0" distL="0" distR="0" wp14:anchorId="0F8FDAC9" wp14:editId="1CC91CA0">
            <wp:extent cx="5760720" cy="2407920"/>
            <wp:effectExtent l="0" t="0" r="0" b="0"/>
            <wp:docPr id="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3C7532"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1</w:t>
      </w:r>
      <w:r w:rsidRPr="00387A67">
        <w:rPr>
          <w:rFonts w:cs="Times New Roman"/>
          <w:color w:val="auto"/>
          <w:sz w:val="24"/>
          <w:szCs w:val="24"/>
        </w:rPr>
        <w:fldChar w:fldCharType="end"/>
      </w:r>
      <w:r w:rsidRPr="00387A67">
        <w:rPr>
          <w:rFonts w:cs="Times New Roman"/>
          <w:color w:val="auto"/>
          <w:sz w:val="24"/>
          <w:szCs w:val="24"/>
        </w:rPr>
        <w:t>. Rahvaaru muutus 2012-2017</w:t>
      </w:r>
    </w:p>
    <w:p w14:paraId="5168E285" w14:textId="77777777" w:rsidR="00821111" w:rsidRPr="00387A67" w:rsidRDefault="0042696A" w:rsidP="00821111">
      <w:pPr>
        <w:pStyle w:val="Pealdis"/>
        <w:rPr>
          <w:rFonts w:cs="Times New Roman"/>
          <w:i w:val="0"/>
          <w:color w:val="auto"/>
          <w:sz w:val="24"/>
        </w:rPr>
      </w:pPr>
      <w:r w:rsidRPr="00387A67">
        <w:rPr>
          <w:rFonts w:cs="Times New Roman"/>
          <w:i w:val="0"/>
          <w:color w:val="auto"/>
          <w:sz w:val="24"/>
        </w:rPr>
        <w:t>R</w:t>
      </w:r>
      <w:r w:rsidR="00821111" w:rsidRPr="00387A67">
        <w:rPr>
          <w:rFonts w:cs="Times New Roman"/>
          <w:i w:val="0"/>
          <w:color w:val="auto"/>
          <w:sz w:val="24"/>
        </w:rPr>
        <w:t xml:space="preserve">ahvaarvu kahanemise kiirus </w:t>
      </w:r>
      <w:r w:rsidRPr="00387A67">
        <w:rPr>
          <w:rFonts w:cs="Times New Roman"/>
          <w:i w:val="0"/>
          <w:color w:val="auto"/>
          <w:sz w:val="24"/>
        </w:rPr>
        <w:t>Kiviõli piirkonnas</w:t>
      </w:r>
      <w:r w:rsidR="00821111" w:rsidRPr="00387A67">
        <w:rPr>
          <w:rFonts w:cs="Times New Roman"/>
          <w:i w:val="0"/>
          <w:color w:val="auto"/>
          <w:sz w:val="24"/>
        </w:rPr>
        <w:t xml:space="preserve"> on olnud</w:t>
      </w:r>
      <w:r w:rsidRPr="00387A67">
        <w:rPr>
          <w:rFonts w:cs="Times New Roman"/>
          <w:i w:val="0"/>
          <w:color w:val="auto"/>
          <w:sz w:val="24"/>
        </w:rPr>
        <w:t xml:space="preserve"> omavalitsuse ja aastate lõikes kvarieeruv, kuid</w:t>
      </w:r>
      <w:r w:rsidR="00821111" w:rsidRPr="00387A67">
        <w:rPr>
          <w:rFonts w:cs="Times New Roman"/>
          <w:i w:val="0"/>
          <w:color w:val="auto"/>
          <w:sz w:val="24"/>
        </w:rPr>
        <w:t xml:space="preserve"> </w:t>
      </w:r>
      <w:r w:rsidRPr="00387A67">
        <w:rPr>
          <w:rFonts w:cs="Times New Roman"/>
          <w:i w:val="0"/>
          <w:color w:val="auto"/>
          <w:sz w:val="24"/>
        </w:rPr>
        <w:t>keskmiselt ligi 3</w:t>
      </w:r>
      <w:r w:rsidR="00821111" w:rsidRPr="00387A67">
        <w:rPr>
          <w:rFonts w:cs="Times New Roman"/>
          <w:i w:val="0"/>
          <w:color w:val="auto"/>
          <w:sz w:val="24"/>
        </w:rPr>
        <w:t>% aastas</w:t>
      </w:r>
      <w:r w:rsidRPr="00387A67">
        <w:rPr>
          <w:rFonts w:cs="Times New Roman"/>
          <w:i w:val="0"/>
          <w:color w:val="auto"/>
          <w:sz w:val="24"/>
        </w:rPr>
        <w:t>.</w:t>
      </w:r>
      <w:r w:rsidR="00821111" w:rsidRPr="00387A67">
        <w:rPr>
          <w:rFonts w:cs="Times New Roman"/>
          <w:i w:val="0"/>
          <w:color w:val="auto"/>
          <w:sz w:val="24"/>
        </w:rPr>
        <w:t xml:space="preserve"> (vt tabel 1)</w:t>
      </w:r>
      <w:r w:rsidRPr="00387A67">
        <w:rPr>
          <w:rFonts w:cs="Times New Roman"/>
          <w:i w:val="0"/>
          <w:color w:val="auto"/>
          <w:sz w:val="24"/>
        </w:rPr>
        <w:t>.</w:t>
      </w:r>
    </w:p>
    <w:p w14:paraId="3FC6DC9C" w14:textId="77777777" w:rsidR="001F14F5" w:rsidRPr="00387A67" w:rsidRDefault="001F14F5" w:rsidP="001F14F5">
      <w:pPr>
        <w:rPr>
          <w:lang w:val="et-EE"/>
        </w:rPr>
      </w:pPr>
    </w:p>
    <w:p w14:paraId="4B0A33C6" w14:textId="77777777" w:rsidR="00821111" w:rsidRPr="00387A67" w:rsidRDefault="00821111" w:rsidP="00821111">
      <w:pPr>
        <w:pStyle w:val="Pealdis"/>
        <w:rPr>
          <w:sz w:val="20"/>
        </w:rPr>
      </w:pPr>
      <w:r w:rsidRPr="00387A67">
        <w:rPr>
          <w:sz w:val="20"/>
        </w:rPr>
        <w:t xml:space="preserve">Tabel </w:t>
      </w:r>
      <w:r w:rsidRPr="00387A67">
        <w:rPr>
          <w:sz w:val="20"/>
        </w:rPr>
        <w:fldChar w:fldCharType="begin"/>
      </w:r>
      <w:r w:rsidRPr="00387A67">
        <w:rPr>
          <w:sz w:val="20"/>
        </w:rPr>
        <w:instrText xml:space="preserve"> SEQ Tabel \* ARABIC </w:instrText>
      </w:r>
      <w:r w:rsidRPr="00387A67">
        <w:rPr>
          <w:sz w:val="20"/>
        </w:rPr>
        <w:fldChar w:fldCharType="separate"/>
      </w:r>
      <w:r w:rsidRPr="00387A67">
        <w:rPr>
          <w:noProof/>
          <w:sz w:val="20"/>
        </w:rPr>
        <w:t>1</w:t>
      </w:r>
      <w:r w:rsidRPr="00387A67">
        <w:rPr>
          <w:sz w:val="20"/>
        </w:rPr>
        <w:fldChar w:fldCharType="end"/>
      </w:r>
      <w:r w:rsidRPr="00387A67">
        <w:rPr>
          <w:sz w:val="20"/>
        </w:rPr>
        <w:t xml:space="preserve"> Rahvaarvu muutus 2012-2017</w:t>
      </w:r>
    </w:p>
    <w:tbl>
      <w:tblPr>
        <w:tblW w:w="9074" w:type="dxa"/>
        <w:tblCellMar>
          <w:left w:w="70" w:type="dxa"/>
          <w:right w:w="70" w:type="dxa"/>
        </w:tblCellMar>
        <w:tblLook w:val="04A0" w:firstRow="1" w:lastRow="0" w:firstColumn="1" w:lastColumn="0" w:noHBand="0" w:noVBand="1"/>
      </w:tblPr>
      <w:tblGrid>
        <w:gridCol w:w="1632"/>
        <w:gridCol w:w="1490"/>
        <w:gridCol w:w="1488"/>
        <w:gridCol w:w="1488"/>
        <w:gridCol w:w="1488"/>
        <w:gridCol w:w="1488"/>
      </w:tblGrid>
      <w:tr w:rsidR="001F14F5" w:rsidRPr="00387A67" w14:paraId="45FE528B" w14:textId="77777777" w:rsidTr="007119A9">
        <w:trPr>
          <w:trHeight w:val="264"/>
        </w:trPr>
        <w:tc>
          <w:tcPr>
            <w:tcW w:w="1632" w:type="dxa"/>
            <w:tcBorders>
              <w:top w:val="nil"/>
              <w:left w:val="nil"/>
              <w:bottom w:val="single" w:sz="4" w:space="0" w:color="auto"/>
              <w:right w:val="nil"/>
            </w:tcBorders>
            <w:shd w:val="clear" w:color="auto" w:fill="auto"/>
            <w:noWrap/>
            <w:vAlign w:val="bottom"/>
            <w:hideMark/>
          </w:tcPr>
          <w:p w14:paraId="61710A5F" w14:textId="77777777" w:rsidR="001F14F5" w:rsidRPr="00387A67" w:rsidRDefault="001F14F5" w:rsidP="007119A9">
            <w:pPr>
              <w:rPr>
                <w:rFonts w:eastAsia="Times New Roman"/>
                <w:sz w:val="20"/>
                <w:szCs w:val="20"/>
                <w:lang w:val="et-EE" w:eastAsia="et-EE"/>
              </w:rPr>
            </w:pPr>
          </w:p>
        </w:tc>
        <w:tc>
          <w:tcPr>
            <w:tcW w:w="1489" w:type="dxa"/>
            <w:tcBorders>
              <w:top w:val="nil"/>
              <w:left w:val="nil"/>
              <w:bottom w:val="single" w:sz="4" w:space="0" w:color="auto"/>
              <w:right w:val="nil"/>
            </w:tcBorders>
            <w:shd w:val="clear" w:color="auto" w:fill="auto"/>
            <w:noWrap/>
            <w:vAlign w:val="bottom"/>
            <w:hideMark/>
          </w:tcPr>
          <w:p w14:paraId="48A7B760" w14:textId="77777777" w:rsidR="001F14F5" w:rsidRPr="00387A67" w:rsidRDefault="001F14F5" w:rsidP="007119A9">
            <w:pPr>
              <w:jc w:val="right"/>
              <w:rPr>
                <w:rFonts w:eastAsia="Times New Roman"/>
                <w:b/>
                <w:bCs/>
                <w:color w:val="000000"/>
                <w:sz w:val="20"/>
                <w:szCs w:val="20"/>
                <w:lang w:val="et-EE" w:eastAsia="et-EE"/>
              </w:rPr>
            </w:pPr>
            <w:r w:rsidRPr="00387A67">
              <w:rPr>
                <w:rFonts w:eastAsia="Times New Roman"/>
                <w:b/>
                <w:bCs/>
                <w:color w:val="000000"/>
                <w:sz w:val="20"/>
                <w:szCs w:val="20"/>
                <w:lang w:val="et-EE" w:eastAsia="et-EE"/>
              </w:rPr>
              <w:t>2012</w:t>
            </w:r>
          </w:p>
        </w:tc>
        <w:tc>
          <w:tcPr>
            <w:tcW w:w="1488" w:type="dxa"/>
            <w:tcBorders>
              <w:top w:val="nil"/>
              <w:left w:val="nil"/>
              <w:bottom w:val="single" w:sz="4" w:space="0" w:color="auto"/>
              <w:right w:val="nil"/>
            </w:tcBorders>
            <w:shd w:val="clear" w:color="auto" w:fill="auto"/>
            <w:noWrap/>
            <w:vAlign w:val="bottom"/>
            <w:hideMark/>
          </w:tcPr>
          <w:p w14:paraId="6532C80C" w14:textId="77777777" w:rsidR="001F14F5" w:rsidRPr="00387A67" w:rsidRDefault="001F14F5" w:rsidP="007119A9">
            <w:pPr>
              <w:jc w:val="right"/>
              <w:rPr>
                <w:rFonts w:eastAsia="Times New Roman"/>
                <w:b/>
                <w:bCs/>
                <w:color w:val="000000"/>
                <w:sz w:val="20"/>
                <w:szCs w:val="20"/>
                <w:lang w:val="et-EE" w:eastAsia="et-EE"/>
              </w:rPr>
            </w:pPr>
            <w:r w:rsidRPr="00387A67">
              <w:rPr>
                <w:rFonts w:eastAsia="Times New Roman"/>
                <w:b/>
                <w:bCs/>
                <w:color w:val="000000"/>
                <w:sz w:val="20"/>
                <w:szCs w:val="20"/>
                <w:lang w:val="et-EE" w:eastAsia="et-EE"/>
              </w:rPr>
              <w:t>2013</w:t>
            </w:r>
          </w:p>
        </w:tc>
        <w:tc>
          <w:tcPr>
            <w:tcW w:w="1488" w:type="dxa"/>
            <w:tcBorders>
              <w:top w:val="nil"/>
              <w:left w:val="nil"/>
              <w:bottom w:val="single" w:sz="4" w:space="0" w:color="auto"/>
              <w:right w:val="nil"/>
            </w:tcBorders>
            <w:shd w:val="clear" w:color="auto" w:fill="auto"/>
            <w:noWrap/>
            <w:vAlign w:val="bottom"/>
            <w:hideMark/>
          </w:tcPr>
          <w:p w14:paraId="68315CF5" w14:textId="77777777" w:rsidR="001F14F5" w:rsidRPr="00387A67" w:rsidRDefault="001F14F5" w:rsidP="007119A9">
            <w:pPr>
              <w:jc w:val="right"/>
              <w:rPr>
                <w:rFonts w:eastAsia="Times New Roman"/>
                <w:b/>
                <w:bCs/>
                <w:color w:val="000000"/>
                <w:sz w:val="20"/>
                <w:szCs w:val="20"/>
                <w:lang w:val="et-EE" w:eastAsia="et-EE"/>
              </w:rPr>
            </w:pPr>
            <w:r w:rsidRPr="00387A67">
              <w:rPr>
                <w:rFonts w:eastAsia="Times New Roman"/>
                <w:b/>
                <w:bCs/>
                <w:color w:val="000000"/>
                <w:sz w:val="20"/>
                <w:szCs w:val="20"/>
                <w:lang w:val="et-EE" w:eastAsia="et-EE"/>
              </w:rPr>
              <w:t>2014</w:t>
            </w:r>
          </w:p>
        </w:tc>
        <w:tc>
          <w:tcPr>
            <w:tcW w:w="1488" w:type="dxa"/>
            <w:tcBorders>
              <w:top w:val="nil"/>
              <w:left w:val="nil"/>
              <w:bottom w:val="single" w:sz="4" w:space="0" w:color="auto"/>
              <w:right w:val="nil"/>
            </w:tcBorders>
            <w:shd w:val="clear" w:color="auto" w:fill="auto"/>
            <w:noWrap/>
            <w:vAlign w:val="bottom"/>
            <w:hideMark/>
          </w:tcPr>
          <w:p w14:paraId="48C812B9" w14:textId="77777777" w:rsidR="001F14F5" w:rsidRPr="00387A67" w:rsidRDefault="001F14F5" w:rsidP="007119A9">
            <w:pPr>
              <w:jc w:val="right"/>
              <w:rPr>
                <w:rFonts w:eastAsia="Times New Roman"/>
                <w:b/>
                <w:bCs/>
                <w:color w:val="000000"/>
                <w:sz w:val="20"/>
                <w:szCs w:val="20"/>
                <w:lang w:val="et-EE" w:eastAsia="et-EE"/>
              </w:rPr>
            </w:pPr>
            <w:r w:rsidRPr="00387A67">
              <w:rPr>
                <w:rFonts w:eastAsia="Times New Roman"/>
                <w:b/>
                <w:bCs/>
                <w:color w:val="000000"/>
                <w:sz w:val="20"/>
                <w:szCs w:val="20"/>
                <w:lang w:val="et-EE" w:eastAsia="et-EE"/>
              </w:rPr>
              <w:t>2015</w:t>
            </w:r>
          </w:p>
        </w:tc>
        <w:tc>
          <w:tcPr>
            <w:tcW w:w="1488" w:type="dxa"/>
            <w:tcBorders>
              <w:top w:val="nil"/>
              <w:left w:val="nil"/>
              <w:bottom w:val="single" w:sz="4" w:space="0" w:color="auto"/>
              <w:right w:val="nil"/>
            </w:tcBorders>
            <w:shd w:val="clear" w:color="auto" w:fill="auto"/>
            <w:noWrap/>
            <w:vAlign w:val="bottom"/>
            <w:hideMark/>
          </w:tcPr>
          <w:p w14:paraId="3E831661" w14:textId="77777777" w:rsidR="001F14F5" w:rsidRPr="00387A67" w:rsidRDefault="001F14F5" w:rsidP="007119A9">
            <w:pPr>
              <w:jc w:val="right"/>
              <w:rPr>
                <w:rFonts w:eastAsia="Times New Roman"/>
                <w:b/>
                <w:bCs/>
                <w:color w:val="000000"/>
                <w:sz w:val="20"/>
                <w:szCs w:val="20"/>
                <w:lang w:val="et-EE" w:eastAsia="et-EE"/>
              </w:rPr>
            </w:pPr>
            <w:r w:rsidRPr="00387A67">
              <w:rPr>
                <w:rFonts w:eastAsia="Times New Roman"/>
                <w:b/>
                <w:bCs/>
                <w:color w:val="000000"/>
                <w:sz w:val="20"/>
                <w:szCs w:val="20"/>
                <w:lang w:val="et-EE" w:eastAsia="et-EE"/>
              </w:rPr>
              <w:t>2016</w:t>
            </w:r>
          </w:p>
        </w:tc>
      </w:tr>
      <w:tr w:rsidR="001F14F5" w:rsidRPr="00387A67" w14:paraId="73E244F6" w14:textId="77777777" w:rsidTr="007119A9">
        <w:trPr>
          <w:trHeight w:val="264"/>
        </w:trPr>
        <w:tc>
          <w:tcPr>
            <w:tcW w:w="1632" w:type="dxa"/>
            <w:tcBorders>
              <w:top w:val="single" w:sz="4" w:space="0" w:color="auto"/>
              <w:left w:val="nil"/>
              <w:bottom w:val="nil"/>
              <w:right w:val="nil"/>
            </w:tcBorders>
            <w:shd w:val="clear" w:color="auto" w:fill="auto"/>
            <w:noWrap/>
            <w:vAlign w:val="bottom"/>
            <w:hideMark/>
          </w:tcPr>
          <w:p w14:paraId="48B16707" w14:textId="77777777" w:rsidR="001F14F5" w:rsidRPr="00387A67" w:rsidRDefault="001F14F5" w:rsidP="007119A9">
            <w:pPr>
              <w:rPr>
                <w:rFonts w:eastAsia="Times New Roman"/>
                <w:color w:val="000000"/>
                <w:sz w:val="20"/>
                <w:szCs w:val="20"/>
                <w:lang w:val="et-EE" w:eastAsia="et-EE"/>
              </w:rPr>
            </w:pPr>
            <w:r w:rsidRPr="00387A67">
              <w:rPr>
                <w:rFonts w:eastAsia="Times New Roman"/>
                <w:color w:val="000000"/>
                <w:sz w:val="20"/>
                <w:szCs w:val="20"/>
                <w:lang w:val="et-EE" w:eastAsia="et-EE"/>
              </w:rPr>
              <w:t>Kiviõli linn</w:t>
            </w:r>
          </w:p>
        </w:tc>
        <w:tc>
          <w:tcPr>
            <w:tcW w:w="1489" w:type="dxa"/>
            <w:tcBorders>
              <w:top w:val="single" w:sz="4" w:space="0" w:color="auto"/>
              <w:left w:val="nil"/>
              <w:bottom w:val="nil"/>
              <w:right w:val="nil"/>
            </w:tcBorders>
            <w:shd w:val="clear" w:color="auto" w:fill="auto"/>
            <w:noWrap/>
            <w:vAlign w:val="bottom"/>
            <w:hideMark/>
          </w:tcPr>
          <w:p w14:paraId="58CA4ACA"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-2,5%</w:t>
            </w:r>
          </w:p>
        </w:tc>
        <w:tc>
          <w:tcPr>
            <w:tcW w:w="1488" w:type="dxa"/>
            <w:tcBorders>
              <w:top w:val="single" w:sz="4" w:space="0" w:color="auto"/>
              <w:left w:val="nil"/>
              <w:bottom w:val="nil"/>
              <w:right w:val="nil"/>
            </w:tcBorders>
            <w:shd w:val="clear" w:color="auto" w:fill="auto"/>
            <w:noWrap/>
            <w:vAlign w:val="bottom"/>
            <w:hideMark/>
          </w:tcPr>
          <w:p w14:paraId="63A3F9A7"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-3,1%</w:t>
            </w:r>
          </w:p>
        </w:tc>
        <w:tc>
          <w:tcPr>
            <w:tcW w:w="1488" w:type="dxa"/>
            <w:tcBorders>
              <w:top w:val="single" w:sz="4" w:space="0" w:color="auto"/>
              <w:left w:val="nil"/>
              <w:bottom w:val="nil"/>
              <w:right w:val="nil"/>
            </w:tcBorders>
            <w:shd w:val="clear" w:color="auto" w:fill="auto"/>
            <w:noWrap/>
            <w:vAlign w:val="bottom"/>
            <w:hideMark/>
          </w:tcPr>
          <w:p w14:paraId="24AD6671"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-2,9%</w:t>
            </w:r>
          </w:p>
        </w:tc>
        <w:tc>
          <w:tcPr>
            <w:tcW w:w="1488" w:type="dxa"/>
            <w:tcBorders>
              <w:top w:val="single" w:sz="4" w:space="0" w:color="auto"/>
              <w:left w:val="nil"/>
              <w:bottom w:val="nil"/>
              <w:right w:val="nil"/>
            </w:tcBorders>
            <w:shd w:val="clear" w:color="auto" w:fill="auto"/>
            <w:noWrap/>
            <w:vAlign w:val="bottom"/>
            <w:hideMark/>
          </w:tcPr>
          <w:p w14:paraId="2B3FD0AC"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-1,9%</w:t>
            </w:r>
          </w:p>
        </w:tc>
        <w:tc>
          <w:tcPr>
            <w:tcW w:w="1488" w:type="dxa"/>
            <w:tcBorders>
              <w:top w:val="single" w:sz="4" w:space="0" w:color="auto"/>
              <w:left w:val="nil"/>
              <w:bottom w:val="nil"/>
              <w:right w:val="nil"/>
            </w:tcBorders>
            <w:shd w:val="clear" w:color="auto" w:fill="auto"/>
            <w:noWrap/>
            <w:vAlign w:val="bottom"/>
            <w:hideMark/>
          </w:tcPr>
          <w:p w14:paraId="4A35253C"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-4,2%</w:t>
            </w:r>
          </w:p>
        </w:tc>
      </w:tr>
      <w:tr w:rsidR="001F14F5" w:rsidRPr="00387A67" w14:paraId="70479FF6" w14:textId="77777777" w:rsidTr="007119A9">
        <w:trPr>
          <w:trHeight w:val="264"/>
        </w:trPr>
        <w:tc>
          <w:tcPr>
            <w:tcW w:w="3122" w:type="dxa"/>
            <w:gridSpan w:val="2"/>
            <w:tcBorders>
              <w:top w:val="nil"/>
              <w:left w:val="nil"/>
              <w:right w:val="nil"/>
            </w:tcBorders>
            <w:shd w:val="clear" w:color="auto" w:fill="auto"/>
            <w:noWrap/>
            <w:vAlign w:val="bottom"/>
            <w:hideMark/>
          </w:tcPr>
          <w:p w14:paraId="4A7C8D39" w14:textId="77777777" w:rsidR="001F14F5" w:rsidRPr="00387A67" w:rsidRDefault="001F14F5" w:rsidP="007119A9">
            <w:pPr>
              <w:rPr>
                <w:rFonts w:eastAsia="Times New Roman"/>
                <w:color w:val="000000"/>
                <w:sz w:val="20"/>
                <w:szCs w:val="20"/>
                <w:lang w:val="et-EE" w:eastAsia="et-EE"/>
              </w:rPr>
            </w:pPr>
            <w:r w:rsidRPr="00387A67">
              <w:rPr>
                <w:rFonts w:eastAsia="Times New Roman"/>
                <w:color w:val="000000"/>
                <w:sz w:val="20"/>
                <w:szCs w:val="20"/>
                <w:lang w:val="et-EE" w:eastAsia="et-EE"/>
              </w:rPr>
              <w:t>Lüganuse vald</w:t>
            </w:r>
          </w:p>
        </w:tc>
        <w:tc>
          <w:tcPr>
            <w:tcW w:w="1488" w:type="dxa"/>
            <w:tcBorders>
              <w:top w:val="nil"/>
              <w:left w:val="nil"/>
              <w:right w:val="nil"/>
            </w:tcBorders>
            <w:shd w:val="clear" w:color="auto" w:fill="auto"/>
            <w:noWrap/>
            <w:vAlign w:val="bottom"/>
            <w:hideMark/>
          </w:tcPr>
          <w:p w14:paraId="2742A74A" w14:textId="77777777" w:rsidR="001F14F5" w:rsidRPr="00387A67" w:rsidRDefault="001F14F5" w:rsidP="007119A9">
            <w:pPr>
              <w:rPr>
                <w:rFonts w:eastAsia="Times New Roman"/>
                <w:color w:val="000000"/>
                <w:sz w:val="20"/>
                <w:szCs w:val="20"/>
                <w:lang w:val="et-EE" w:eastAsia="et-EE"/>
              </w:rPr>
            </w:pPr>
          </w:p>
        </w:tc>
        <w:tc>
          <w:tcPr>
            <w:tcW w:w="1488" w:type="dxa"/>
            <w:tcBorders>
              <w:top w:val="nil"/>
              <w:left w:val="nil"/>
              <w:right w:val="nil"/>
            </w:tcBorders>
            <w:shd w:val="clear" w:color="auto" w:fill="auto"/>
            <w:noWrap/>
            <w:vAlign w:val="bottom"/>
            <w:hideMark/>
          </w:tcPr>
          <w:p w14:paraId="431884B8"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-3,6%</w:t>
            </w:r>
          </w:p>
        </w:tc>
        <w:tc>
          <w:tcPr>
            <w:tcW w:w="1488" w:type="dxa"/>
            <w:tcBorders>
              <w:top w:val="nil"/>
              <w:left w:val="nil"/>
              <w:right w:val="nil"/>
            </w:tcBorders>
            <w:shd w:val="clear" w:color="auto" w:fill="auto"/>
            <w:noWrap/>
            <w:vAlign w:val="bottom"/>
            <w:hideMark/>
          </w:tcPr>
          <w:p w14:paraId="1EA86196"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-3,3%</w:t>
            </w:r>
          </w:p>
        </w:tc>
        <w:tc>
          <w:tcPr>
            <w:tcW w:w="1488" w:type="dxa"/>
            <w:tcBorders>
              <w:top w:val="nil"/>
              <w:left w:val="nil"/>
              <w:right w:val="nil"/>
            </w:tcBorders>
            <w:shd w:val="clear" w:color="auto" w:fill="auto"/>
            <w:noWrap/>
            <w:vAlign w:val="bottom"/>
            <w:hideMark/>
          </w:tcPr>
          <w:p w14:paraId="3CB469B2"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-2,3%</w:t>
            </w:r>
          </w:p>
        </w:tc>
      </w:tr>
      <w:tr w:rsidR="001F14F5" w:rsidRPr="00387A67" w14:paraId="5E195197" w14:textId="77777777" w:rsidTr="007119A9">
        <w:trPr>
          <w:trHeight w:val="264"/>
        </w:trPr>
        <w:tc>
          <w:tcPr>
            <w:tcW w:w="1632" w:type="dxa"/>
            <w:tcBorders>
              <w:top w:val="nil"/>
              <w:left w:val="nil"/>
              <w:bottom w:val="single" w:sz="4" w:space="0" w:color="auto"/>
              <w:right w:val="nil"/>
            </w:tcBorders>
            <w:shd w:val="clear" w:color="auto" w:fill="auto"/>
            <w:noWrap/>
            <w:vAlign w:val="bottom"/>
            <w:hideMark/>
          </w:tcPr>
          <w:p w14:paraId="06D09975" w14:textId="77777777" w:rsidR="001F14F5" w:rsidRPr="00387A67" w:rsidRDefault="001F14F5" w:rsidP="007119A9">
            <w:pPr>
              <w:rPr>
                <w:rFonts w:eastAsia="Times New Roman"/>
                <w:color w:val="000000"/>
                <w:sz w:val="20"/>
                <w:szCs w:val="20"/>
                <w:lang w:val="et-EE" w:eastAsia="et-EE"/>
              </w:rPr>
            </w:pPr>
            <w:r w:rsidRPr="00387A67">
              <w:rPr>
                <w:rFonts w:eastAsia="Times New Roman"/>
                <w:color w:val="000000"/>
                <w:sz w:val="20"/>
                <w:szCs w:val="20"/>
                <w:lang w:val="et-EE" w:eastAsia="et-EE"/>
              </w:rPr>
              <w:t>Sonda vald</w:t>
            </w:r>
          </w:p>
        </w:tc>
        <w:tc>
          <w:tcPr>
            <w:tcW w:w="1489" w:type="dxa"/>
            <w:tcBorders>
              <w:top w:val="nil"/>
              <w:left w:val="nil"/>
              <w:bottom w:val="single" w:sz="4" w:space="0" w:color="auto"/>
              <w:right w:val="nil"/>
            </w:tcBorders>
            <w:shd w:val="clear" w:color="auto" w:fill="auto"/>
            <w:noWrap/>
            <w:vAlign w:val="bottom"/>
            <w:hideMark/>
          </w:tcPr>
          <w:p w14:paraId="0B9BBF00"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-3,7%</w:t>
            </w:r>
          </w:p>
        </w:tc>
        <w:tc>
          <w:tcPr>
            <w:tcW w:w="1488" w:type="dxa"/>
            <w:tcBorders>
              <w:top w:val="nil"/>
              <w:left w:val="nil"/>
              <w:bottom w:val="single" w:sz="4" w:space="0" w:color="auto"/>
              <w:right w:val="nil"/>
            </w:tcBorders>
            <w:shd w:val="clear" w:color="auto" w:fill="auto"/>
            <w:noWrap/>
            <w:vAlign w:val="bottom"/>
            <w:hideMark/>
          </w:tcPr>
          <w:p w14:paraId="70FB1DE4"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0,0%</w:t>
            </w:r>
          </w:p>
        </w:tc>
        <w:tc>
          <w:tcPr>
            <w:tcW w:w="1488" w:type="dxa"/>
            <w:tcBorders>
              <w:top w:val="nil"/>
              <w:left w:val="nil"/>
              <w:bottom w:val="single" w:sz="4" w:space="0" w:color="auto"/>
              <w:right w:val="nil"/>
            </w:tcBorders>
            <w:shd w:val="clear" w:color="auto" w:fill="auto"/>
            <w:noWrap/>
            <w:vAlign w:val="bottom"/>
            <w:hideMark/>
          </w:tcPr>
          <w:p w14:paraId="6CB6AB30"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-2,6%</w:t>
            </w:r>
          </w:p>
        </w:tc>
        <w:tc>
          <w:tcPr>
            <w:tcW w:w="1488" w:type="dxa"/>
            <w:tcBorders>
              <w:top w:val="nil"/>
              <w:left w:val="nil"/>
              <w:bottom w:val="single" w:sz="4" w:space="0" w:color="auto"/>
              <w:right w:val="nil"/>
            </w:tcBorders>
            <w:shd w:val="clear" w:color="auto" w:fill="auto"/>
            <w:noWrap/>
            <w:vAlign w:val="bottom"/>
            <w:hideMark/>
          </w:tcPr>
          <w:p w14:paraId="36D237EA"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-2,6%</w:t>
            </w:r>
          </w:p>
        </w:tc>
        <w:tc>
          <w:tcPr>
            <w:tcW w:w="1488" w:type="dxa"/>
            <w:tcBorders>
              <w:top w:val="nil"/>
              <w:left w:val="nil"/>
              <w:bottom w:val="single" w:sz="4" w:space="0" w:color="auto"/>
              <w:right w:val="nil"/>
            </w:tcBorders>
            <w:shd w:val="clear" w:color="auto" w:fill="auto"/>
            <w:noWrap/>
            <w:vAlign w:val="bottom"/>
            <w:hideMark/>
          </w:tcPr>
          <w:p w14:paraId="39B7E001"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-0,3%</w:t>
            </w:r>
          </w:p>
        </w:tc>
      </w:tr>
      <w:tr w:rsidR="001F14F5" w:rsidRPr="00387A67" w14:paraId="27C465AB" w14:textId="77777777" w:rsidTr="007119A9">
        <w:trPr>
          <w:trHeight w:val="264"/>
        </w:trPr>
        <w:tc>
          <w:tcPr>
            <w:tcW w:w="1632" w:type="dxa"/>
            <w:tcBorders>
              <w:top w:val="single" w:sz="4" w:space="0" w:color="auto"/>
              <w:left w:val="nil"/>
              <w:bottom w:val="nil"/>
              <w:right w:val="nil"/>
            </w:tcBorders>
            <w:shd w:val="clear" w:color="auto" w:fill="auto"/>
            <w:noWrap/>
            <w:vAlign w:val="bottom"/>
            <w:hideMark/>
          </w:tcPr>
          <w:p w14:paraId="0C5BF5C9" w14:textId="77777777" w:rsidR="001F14F5" w:rsidRPr="00387A67" w:rsidRDefault="001F14F5" w:rsidP="007119A9">
            <w:pPr>
              <w:rPr>
                <w:rFonts w:eastAsia="Times New Roman"/>
                <w:color w:val="000000"/>
                <w:sz w:val="20"/>
                <w:szCs w:val="20"/>
                <w:lang w:val="et-EE" w:eastAsia="et-EE"/>
              </w:rPr>
            </w:pPr>
            <w:r w:rsidRPr="00387A67">
              <w:rPr>
                <w:rFonts w:eastAsia="Times New Roman"/>
                <w:color w:val="000000"/>
                <w:sz w:val="20"/>
                <w:szCs w:val="20"/>
                <w:lang w:val="et-EE" w:eastAsia="et-EE"/>
              </w:rPr>
              <w:t>Kokku</w:t>
            </w:r>
          </w:p>
        </w:tc>
        <w:tc>
          <w:tcPr>
            <w:tcW w:w="1489" w:type="dxa"/>
            <w:tcBorders>
              <w:top w:val="single" w:sz="4" w:space="0" w:color="auto"/>
              <w:left w:val="nil"/>
              <w:bottom w:val="nil"/>
              <w:right w:val="nil"/>
            </w:tcBorders>
            <w:shd w:val="clear" w:color="auto" w:fill="auto"/>
            <w:noWrap/>
            <w:vAlign w:val="bottom"/>
            <w:hideMark/>
          </w:tcPr>
          <w:p w14:paraId="3EF0D106" w14:textId="77777777" w:rsidR="001F14F5" w:rsidRPr="00387A67" w:rsidRDefault="001F14F5" w:rsidP="007119A9">
            <w:pPr>
              <w:rPr>
                <w:rFonts w:eastAsia="Times New Roman"/>
                <w:color w:val="000000"/>
                <w:sz w:val="20"/>
                <w:szCs w:val="20"/>
                <w:lang w:val="et-EE" w:eastAsia="et-EE"/>
              </w:rPr>
            </w:pPr>
          </w:p>
        </w:tc>
        <w:tc>
          <w:tcPr>
            <w:tcW w:w="1488" w:type="dxa"/>
            <w:tcBorders>
              <w:top w:val="single" w:sz="4" w:space="0" w:color="auto"/>
              <w:left w:val="nil"/>
              <w:bottom w:val="nil"/>
              <w:right w:val="nil"/>
            </w:tcBorders>
            <w:shd w:val="clear" w:color="auto" w:fill="auto"/>
            <w:noWrap/>
            <w:vAlign w:val="bottom"/>
            <w:hideMark/>
          </w:tcPr>
          <w:p w14:paraId="378FA514" w14:textId="77777777" w:rsidR="001F14F5" w:rsidRPr="00387A67" w:rsidRDefault="001F14F5" w:rsidP="007119A9">
            <w:pPr>
              <w:rPr>
                <w:rFonts w:eastAsia="Times New Roman"/>
                <w:sz w:val="20"/>
                <w:szCs w:val="20"/>
                <w:lang w:val="et-EE" w:eastAsia="et-EE"/>
              </w:rPr>
            </w:pPr>
          </w:p>
        </w:tc>
        <w:tc>
          <w:tcPr>
            <w:tcW w:w="1488" w:type="dxa"/>
            <w:tcBorders>
              <w:top w:val="single" w:sz="4" w:space="0" w:color="auto"/>
              <w:left w:val="nil"/>
              <w:bottom w:val="nil"/>
              <w:right w:val="nil"/>
            </w:tcBorders>
            <w:shd w:val="clear" w:color="auto" w:fill="auto"/>
            <w:noWrap/>
            <w:vAlign w:val="bottom"/>
            <w:hideMark/>
          </w:tcPr>
          <w:p w14:paraId="1CBCB833"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-3,1%</w:t>
            </w:r>
          </w:p>
        </w:tc>
        <w:tc>
          <w:tcPr>
            <w:tcW w:w="1488" w:type="dxa"/>
            <w:tcBorders>
              <w:top w:val="single" w:sz="4" w:space="0" w:color="auto"/>
              <w:left w:val="nil"/>
              <w:bottom w:val="nil"/>
              <w:right w:val="nil"/>
            </w:tcBorders>
            <w:shd w:val="clear" w:color="auto" w:fill="auto"/>
            <w:noWrap/>
            <w:vAlign w:val="bottom"/>
            <w:hideMark/>
          </w:tcPr>
          <w:p w14:paraId="0EF33E65"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-2,4%</w:t>
            </w:r>
          </w:p>
        </w:tc>
        <w:tc>
          <w:tcPr>
            <w:tcW w:w="1488" w:type="dxa"/>
            <w:tcBorders>
              <w:top w:val="single" w:sz="4" w:space="0" w:color="auto"/>
              <w:left w:val="nil"/>
              <w:bottom w:val="nil"/>
              <w:right w:val="nil"/>
            </w:tcBorders>
            <w:shd w:val="clear" w:color="auto" w:fill="auto"/>
            <w:noWrap/>
            <w:vAlign w:val="bottom"/>
            <w:hideMark/>
          </w:tcPr>
          <w:p w14:paraId="24AD4F35" w14:textId="77777777" w:rsidR="001F14F5" w:rsidRPr="00387A67" w:rsidRDefault="001F14F5" w:rsidP="007119A9">
            <w:pPr>
              <w:jc w:val="right"/>
              <w:rPr>
                <w:rFonts w:eastAsia="Times New Roman"/>
                <w:color w:val="000000"/>
                <w:sz w:val="20"/>
                <w:szCs w:val="20"/>
                <w:lang w:val="et-EE" w:eastAsia="et-EE"/>
              </w:rPr>
            </w:pPr>
            <w:r w:rsidRPr="00387A67">
              <w:rPr>
                <w:rFonts w:eastAsia="Times New Roman"/>
                <w:color w:val="000000"/>
                <w:sz w:val="20"/>
                <w:szCs w:val="20"/>
                <w:lang w:val="et-EE" w:eastAsia="et-EE"/>
              </w:rPr>
              <w:t>-3,2%</w:t>
            </w:r>
          </w:p>
        </w:tc>
      </w:tr>
    </w:tbl>
    <w:p w14:paraId="347D1A8D" w14:textId="77777777" w:rsidR="001F14F5" w:rsidRPr="00387A67" w:rsidRDefault="001F14F5" w:rsidP="001F14F5">
      <w:pPr>
        <w:rPr>
          <w:lang w:val="et-EE"/>
        </w:rPr>
      </w:pPr>
    </w:p>
    <w:p w14:paraId="3E706D5D" w14:textId="77777777" w:rsidR="00821111" w:rsidRPr="00387A67" w:rsidRDefault="0042696A" w:rsidP="0042696A">
      <w:pPr>
        <w:spacing w:after="160" w:line="259" w:lineRule="auto"/>
        <w:rPr>
          <w:lang w:val="et-EE"/>
        </w:rPr>
      </w:pPr>
      <w:r w:rsidRPr="00387A67">
        <w:rPr>
          <w:lang w:val="et-EE"/>
        </w:rPr>
        <w:br w:type="page"/>
      </w:r>
    </w:p>
    <w:p w14:paraId="7A204FF7" w14:textId="77777777" w:rsidR="00821111" w:rsidRPr="00387A67" w:rsidRDefault="00821111" w:rsidP="00821111">
      <w:pPr>
        <w:pStyle w:val="Pealkiri3"/>
        <w:numPr>
          <w:ilvl w:val="1"/>
          <w:numId w:val="2"/>
        </w:numPr>
        <w:jc w:val="left"/>
        <w:rPr>
          <w:b/>
          <w:color w:val="auto"/>
        </w:rPr>
      </w:pPr>
      <w:r w:rsidRPr="00387A67">
        <w:rPr>
          <w:b/>
          <w:color w:val="auto"/>
        </w:rPr>
        <w:lastRenderedPageBreak/>
        <w:t>Elanikkonna soolis-vanuseline struktuur</w:t>
      </w:r>
    </w:p>
    <w:p w14:paraId="44A8A600" w14:textId="77777777" w:rsidR="00821111" w:rsidRPr="00387A67" w:rsidRDefault="00821111" w:rsidP="00821111">
      <w:pPr>
        <w:rPr>
          <w:lang w:val="et-EE"/>
        </w:rPr>
      </w:pPr>
    </w:p>
    <w:p w14:paraId="14F51DCD" w14:textId="77777777" w:rsidR="00821111" w:rsidRPr="00387A67" w:rsidRDefault="00821111" w:rsidP="00821111">
      <w:pPr>
        <w:jc w:val="both"/>
        <w:rPr>
          <w:lang w:val="et-EE"/>
        </w:rPr>
      </w:pPr>
      <w:r w:rsidRPr="00387A67">
        <w:rPr>
          <w:lang w:val="et-EE"/>
        </w:rPr>
        <w:t>Sugude suhe näitab meeste arvu suhet samas vanuses (või vanuserühmas) naiste arvu. Nooremas vanuses on suhe juba bioloogiliselt veidi nihkes, sest keskmiselt sünnib 105 poissi 100 tüdruku kohta. Vanemas eas on loomulik suhte kaldumine naise kasuks, kelle oodatav keskmine eluiga on ligi 10 aastat pikem kui meestel.</w:t>
      </w:r>
    </w:p>
    <w:p w14:paraId="1A85061C" w14:textId="77777777" w:rsidR="00821111" w:rsidRPr="00387A67" w:rsidRDefault="00821111" w:rsidP="00821111">
      <w:pPr>
        <w:jc w:val="both"/>
        <w:rPr>
          <w:lang w:val="et-EE"/>
        </w:rPr>
      </w:pPr>
    </w:p>
    <w:p w14:paraId="7C482255" w14:textId="77777777" w:rsidR="00821111" w:rsidRPr="00387A67" w:rsidRDefault="001F14F5" w:rsidP="00821111">
      <w:pPr>
        <w:jc w:val="both"/>
        <w:rPr>
          <w:lang w:val="et-EE"/>
        </w:rPr>
      </w:pPr>
      <w:r w:rsidRPr="00387A67">
        <w:rPr>
          <w:lang w:val="et-EE"/>
        </w:rPr>
        <w:t>Kiviõli piirkonda</w:t>
      </w:r>
      <w:r w:rsidR="00821111" w:rsidRPr="00387A67">
        <w:rPr>
          <w:lang w:val="et-EE"/>
        </w:rPr>
        <w:t xml:space="preserve"> iseloomustab suur meeste ja naiste arvu erinevus vanuses 20-</w:t>
      </w:r>
      <w:r w:rsidRPr="00387A67">
        <w:rPr>
          <w:lang w:val="et-EE"/>
        </w:rPr>
        <w:t>35 eluaastat, kus mehi kuni 5</w:t>
      </w:r>
      <w:r w:rsidR="00821111" w:rsidRPr="00387A67">
        <w:rPr>
          <w:lang w:val="et-EE"/>
        </w:rPr>
        <w:t>0% enam kui naisi (</w:t>
      </w:r>
      <w:r w:rsidRPr="00387A67">
        <w:rPr>
          <w:lang w:val="et-EE"/>
        </w:rPr>
        <w:t xml:space="preserve">joonis 2). </w:t>
      </w:r>
      <w:r w:rsidR="00821111" w:rsidRPr="00387A67">
        <w:rPr>
          <w:lang w:val="et-EE"/>
        </w:rPr>
        <w:t>Vanus 20-35 on tavapärane (parim) aeg pere loomiseks ja laste saamiseks. On tõsiasi, et u kolmandikul meestest puudub võimalus leida kodukohas kaaslast.</w:t>
      </w:r>
    </w:p>
    <w:p w14:paraId="7659FFA0" w14:textId="77777777" w:rsidR="00821111" w:rsidRPr="00387A67" w:rsidRDefault="00821111" w:rsidP="00821111">
      <w:pPr>
        <w:jc w:val="both"/>
        <w:rPr>
          <w:lang w:val="et-EE"/>
        </w:rPr>
      </w:pPr>
    </w:p>
    <w:p w14:paraId="75B09AED" w14:textId="77777777" w:rsidR="00821111" w:rsidRPr="00387A67" w:rsidRDefault="001F14F5" w:rsidP="00821111">
      <w:pPr>
        <w:jc w:val="both"/>
        <w:rPr>
          <w:lang w:val="et-EE"/>
        </w:rPr>
      </w:pPr>
      <w:r w:rsidRPr="00387A67">
        <w:rPr>
          <w:noProof/>
        </w:rPr>
        <w:drawing>
          <wp:inline distT="0" distB="0" distL="0" distR="0" wp14:anchorId="6A5BE42A" wp14:editId="624D0861">
            <wp:extent cx="5760720" cy="2392045"/>
            <wp:effectExtent l="0" t="0" r="5080" b="0"/>
            <wp:docPr id="2" name="Chart 2">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347567"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2</w:t>
      </w:r>
      <w:r w:rsidRPr="00387A67">
        <w:rPr>
          <w:rFonts w:cs="Times New Roman"/>
          <w:color w:val="auto"/>
          <w:sz w:val="24"/>
          <w:szCs w:val="24"/>
        </w:rPr>
        <w:fldChar w:fldCharType="end"/>
      </w:r>
      <w:r w:rsidRPr="00387A67">
        <w:rPr>
          <w:rFonts w:cs="Times New Roman"/>
          <w:color w:val="auto"/>
          <w:sz w:val="24"/>
          <w:szCs w:val="24"/>
        </w:rPr>
        <w:t>. Sugude suhe 1.01.2017</w:t>
      </w:r>
    </w:p>
    <w:p w14:paraId="5E88BB45" w14:textId="77777777" w:rsidR="00821111" w:rsidRPr="00387A67" w:rsidRDefault="00821111" w:rsidP="00821111">
      <w:pPr>
        <w:jc w:val="both"/>
        <w:rPr>
          <w:lang w:val="et-EE"/>
        </w:rPr>
      </w:pPr>
      <w:r w:rsidRPr="00387A67">
        <w:rPr>
          <w:lang w:val="et-EE"/>
        </w:rPr>
        <w:t xml:space="preserve">Rahvastiku soolis-vanuseline jaotus </w:t>
      </w:r>
      <w:r w:rsidR="001F14F5" w:rsidRPr="00387A67">
        <w:rPr>
          <w:lang w:val="et-EE"/>
        </w:rPr>
        <w:t>Kiviõli piirkonnas</w:t>
      </w:r>
      <w:r w:rsidRPr="00387A67">
        <w:rPr>
          <w:lang w:val="et-EE"/>
        </w:rPr>
        <w:t xml:space="preserve"> on lisaks sugude suhtele tasakaalust väljas ka vanusjaotuse vaates (joonis 3). Tegemist on Eestile omase rahvastiku vananemist näitava vanusjaotusega, kus laste põlvkonnad on väikemad kui nende vanemate põlvkonnad.</w:t>
      </w:r>
    </w:p>
    <w:p w14:paraId="3E853184" w14:textId="77777777" w:rsidR="00821111" w:rsidRPr="00387A67" w:rsidRDefault="00821111" w:rsidP="00821111">
      <w:pPr>
        <w:jc w:val="both"/>
        <w:rPr>
          <w:lang w:val="et-EE"/>
        </w:rPr>
      </w:pPr>
      <w:r w:rsidRPr="00387A67">
        <w:rPr>
          <w:lang w:val="et-EE"/>
        </w:rPr>
        <w:t xml:space="preserve"> </w:t>
      </w:r>
    </w:p>
    <w:p w14:paraId="16C95A90" w14:textId="77777777" w:rsidR="00821111" w:rsidRPr="00387A67" w:rsidRDefault="001F14F5" w:rsidP="00821111">
      <w:pPr>
        <w:jc w:val="both"/>
        <w:rPr>
          <w:lang w:val="et-EE"/>
        </w:rPr>
      </w:pPr>
      <w:r w:rsidRPr="00387A67">
        <w:rPr>
          <w:noProof/>
        </w:rPr>
        <w:drawing>
          <wp:inline distT="0" distB="0" distL="0" distR="0" wp14:anchorId="40476B5F" wp14:editId="0EEEF834">
            <wp:extent cx="5760720" cy="2956560"/>
            <wp:effectExtent l="0" t="0" r="11430" b="15240"/>
            <wp:docPr id="3" name="Chart 3">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A41656"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3</w:t>
      </w:r>
      <w:r w:rsidRPr="00387A67">
        <w:rPr>
          <w:rFonts w:cs="Times New Roman"/>
          <w:color w:val="auto"/>
          <w:sz w:val="24"/>
          <w:szCs w:val="24"/>
        </w:rPr>
        <w:fldChar w:fldCharType="end"/>
      </w:r>
      <w:r w:rsidRPr="00387A67">
        <w:rPr>
          <w:rFonts w:cs="Times New Roman"/>
          <w:color w:val="auto"/>
          <w:sz w:val="24"/>
          <w:szCs w:val="24"/>
        </w:rPr>
        <w:t xml:space="preserve">. Rahvastiku soolis-vanuseline jaotus </w:t>
      </w:r>
      <w:r w:rsidR="001F14F5" w:rsidRPr="00387A67">
        <w:rPr>
          <w:rFonts w:cs="Times New Roman"/>
          <w:color w:val="auto"/>
          <w:sz w:val="24"/>
          <w:szCs w:val="24"/>
        </w:rPr>
        <w:t>Kiviõli piirkonnas</w:t>
      </w:r>
      <w:r w:rsidRPr="00387A67">
        <w:rPr>
          <w:rFonts w:cs="Times New Roman"/>
          <w:color w:val="auto"/>
          <w:sz w:val="24"/>
          <w:szCs w:val="24"/>
        </w:rPr>
        <w:t xml:space="preserve"> 1.01.2017</w:t>
      </w:r>
    </w:p>
    <w:p w14:paraId="42F9BAC8" w14:textId="77777777" w:rsidR="00821111" w:rsidRPr="00387A67" w:rsidRDefault="00821111" w:rsidP="00821111">
      <w:pPr>
        <w:pStyle w:val="Pealkiri3"/>
        <w:numPr>
          <w:ilvl w:val="0"/>
          <w:numId w:val="0"/>
        </w:numPr>
        <w:rPr>
          <w:b/>
          <w:color w:val="auto"/>
        </w:rPr>
      </w:pPr>
      <w:r w:rsidRPr="00387A67">
        <w:rPr>
          <w:b/>
          <w:color w:val="auto"/>
        </w:rPr>
        <w:lastRenderedPageBreak/>
        <w:t>1.3 Loomulik iive ja ränne</w:t>
      </w:r>
    </w:p>
    <w:p w14:paraId="017F66D2" w14:textId="77777777" w:rsidR="00821111" w:rsidRPr="00387A67" w:rsidRDefault="00821111" w:rsidP="00821111">
      <w:pPr>
        <w:pStyle w:val="Loendilik"/>
        <w:ind w:left="360"/>
        <w:rPr>
          <w:rFonts w:asciiTheme="majorHAnsi" w:hAnsiTheme="majorHAnsi"/>
        </w:rPr>
      </w:pPr>
    </w:p>
    <w:p w14:paraId="0F9849CE" w14:textId="77777777" w:rsidR="00821111" w:rsidRPr="00387A67" w:rsidRDefault="00821111" w:rsidP="00821111">
      <w:pPr>
        <w:jc w:val="both"/>
        <w:rPr>
          <w:lang w:val="et-EE"/>
        </w:rPr>
      </w:pPr>
      <w:r w:rsidRPr="00387A67">
        <w:rPr>
          <w:lang w:val="et-EE"/>
        </w:rPr>
        <w:t xml:space="preserve">Loomulik iive on </w:t>
      </w:r>
      <w:r w:rsidR="0042696A" w:rsidRPr="00387A67">
        <w:rPr>
          <w:lang w:val="et-EE"/>
        </w:rPr>
        <w:t>Kiviõli piirkonnas</w:t>
      </w:r>
      <w:r w:rsidRPr="00387A67">
        <w:rPr>
          <w:lang w:val="et-EE"/>
        </w:rPr>
        <w:t xml:space="preserve"> tugevalt negatiivne. Viimasel </w:t>
      </w:r>
      <w:r w:rsidR="0042696A" w:rsidRPr="00387A67">
        <w:rPr>
          <w:lang w:val="et-EE"/>
        </w:rPr>
        <w:t>kolmel</w:t>
      </w:r>
      <w:r w:rsidRPr="00387A67">
        <w:rPr>
          <w:lang w:val="et-EE"/>
        </w:rPr>
        <w:t xml:space="preserve"> aastal on surmade arv ületanud sündide arvu aastakeskmiselt </w:t>
      </w:r>
      <w:r w:rsidR="0042696A" w:rsidRPr="00387A67">
        <w:rPr>
          <w:lang w:val="et-EE"/>
        </w:rPr>
        <w:t>112</w:t>
      </w:r>
      <w:r w:rsidRPr="00387A67">
        <w:rPr>
          <w:lang w:val="et-EE"/>
        </w:rPr>
        <w:t xml:space="preserve"> võrra (vt joonis 4). </w:t>
      </w:r>
      <w:r w:rsidR="0042696A" w:rsidRPr="00387A67">
        <w:rPr>
          <w:lang w:val="et-EE"/>
        </w:rPr>
        <w:t>Ehk aastakeskmiselt on rahaarv negatiivse loomuliku iibe tagajärjel kahanenud 1,2%. Kahanemine on teistest omavalitsustest mõnevõrra kiirem olnud Kiviõli linnas.</w:t>
      </w:r>
    </w:p>
    <w:p w14:paraId="60540A33" w14:textId="77777777" w:rsidR="00821111" w:rsidRPr="00387A67" w:rsidRDefault="00821111" w:rsidP="00821111">
      <w:pPr>
        <w:jc w:val="both"/>
        <w:rPr>
          <w:lang w:val="et-EE"/>
        </w:rPr>
      </w:pPr>
    </w:p>
    <w:p w14:paraId="13182BDF" w14:textId="77777777" w:rsidR="00821111" w:rsidRPr="00387A67" w:rsidRDefault="0042696A" w:rsidP="00821111">
      <w:pPr>
        <w:rPr>
          <w:lang w:val="et-EE"/>
        </w:rPr>
      </w:pPr>
      <w:r w:rsidRPr="00387A67">
        <w:rPr>
          <w:noProof/>
        </w:rPr>
        <w:drawing>
          <wp:inline distT="0" distB="0" distL="0" distR="0" wp14:anchorId="00B48A75" wp14:editId="29305A63">
            <wp:extent cx="5799455" cy="2125134"/>
            <wp:effectExtent l="0" t="0" r="10795" b="8890"/>
            <wp:docPr id="4" name="Chart 4">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57C402"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4</w:t>
      </w:r>
      <w:r w:rsidRPr="00387A67">
        <w:rPr>
          <w:rFonts w:cs="Times New Roman"/>
          <w:color w:val="auto"/>
          <w:sz w:val="24"/>
          <w:szCs w:val="24"/>
        </w:rPr>
        <w:fldChar w:fldCharType="end"/>
      </w:r>
      <w:r w:rsidRPr="00387A67">
        <w:rPr>
          <w:rFonts w:cs="Times New Roman"/>
          <w:color w:val="auto"/>
          <w:sz w:val="24"/>
          <w:szCs w:val="24"/>
        </w:rPr>
        <w:t xml:space="preserve">. Loomulik iive </w:t>
      </w:r>
      <w:r w:rsidR="0042696A" w:rsidRPr="00387A67">
        <w:rPr>
          <w:rFonts w:cs="Times New Roman"/>
          <w:color w:val="auto"/>
          <w:sz w:val="24"/>
          <w:szCs w:val="24"/>
        </w:rPr>
        <w:t>Kiviõli piirkonnas 2014</w:t>
      </w:r>
      <w:r w:rsidRPr="00387A67">
        <w:rPr>
          <w:rFonts w:cs="Times New Roman"/>
          <w:color w:val="auto"/>
          <w:sz w:val="24"/>
          <w:szCs w:val="24"/>
        </w:rPr>
        <w:t>-2016</w:t>
      </w:r>
    </w:p>
    <w:p w14:paraId="3F074AD5" w14:textId="77777777" w:rsidR="00821111" w:rsidRPr="00387A67" w:rsidRDefault="00E61462" w:rsidP="00821111">
      <w:pPr>
        <w:jc w:val="both"/>
        <w:rPr>
          <w:lang w:val="et-EE"/>
        </w:rPr>
      </w:pPr>
      <w:r w:rsidRPr="00387A67">
        <w:rPr>
          <w:lang w:val="et-EE"/>
        </w:rPr>
        <w:t>Eelnev</w:t>
      </w:r>
      <w:r w:rsidR="00821111" w:rsidRPr="00387A67">
        <w:rPr>
          <w:lang w:val="et-EE"/>
        </w:rPr>
        <w:t xml:space="preserve"> tuleneb vanusestruktuuri ja summaarse sündimuse vanuskordaja koosmõjust. Eesti näitaja on tugevalt allpool taastootetaset (milleks loetakse keskmiselt 2,1 last fertiilses eas naise koht). </w:t>
      </w:r>
      <w:r w:rsidRPr="00387A67">
        <w:rPr>
          <w:lang w:val="et-EE"/>
        </w:rPr>
        <w:t>Kiviõli piirkonnas</w:t>
      </w:r>
      <w:r w:rsidR="00821111" w:rsidRPr="00387A67">
        <w:rPr>
          <w:lang w:val="et-EE"/>
        </w:rPr>
        <w:t xml:space="preserve"> on kordaja viimasel </w:t>
      </w:r>
      <w:r w:rsidRPr="00387A67">
        <w:rPr>
          <w:lang w:val="et-EE"/>
        </w:rPr>
        <w:t xml:space="preserve">kolmel aastal kõikunud 1,37 ja 1,5 vahel (keskmine 1,44). </w:t>
      </w:r>
      <w:r w:rsidR="00867F75" w:rsidRPr="00387A67">
        <w:rPr>
          <w:lang w:val="et-EE"/>
        </w:rPr>
        <w:t xml:space="preserve"> Erisused omavalitsuste vahel ei ole suured. Sonda valla kordaja suured kõikumised on tingitud väikesest rahvaarvust.</w:t>
      </w:r>
    </w:p>
    <w:p w14:paraId="15CE9982" w14:textId="77777777" w:rsidR="00821111" w:rsidRPr="00387A67" w:rsidRDefault="00821111" w:rsidP="00821111">
      <w:pPr>
        <w:jc w:val="both"/>
        <w:rPr>
          <w:lang w:val="et-EE"/>
        </w:rPr>
      </w:pPr>
    </w:p>
    <w:p w14:paraId="31E3D8AF" w14:textId="77777777" w:rsidR="00821111" w:rsidRPr="00387A67" w:rsidRDefault="00821111" w:rsidP="00821111">
      <w:pPr>
        <w:jc w:val="both"/>
        <w:rPr>
          <w:lang w:val="et-EE"/>
        </w:rPr>
      </w:pPr>
      <w:r w:rsidRPr="00387A67">
        <w:rPr>
          <w:lang w:val="et-EE"/>
        </w:rPr>
        <w:t xml:space="preserve">Rahvaarvu kiire kahanemise peamiseks põhjuseks </w:t>
      </w:r>
      <w:r w:rsidR="00E61462" w:rsidRPr="00387A67">
        <w:rPr>
          <w:lang w:val="et-EE"/>
        </w:rPr>
        <w:t>piirkonnas</w:t>
      </w:r>
      <w:r w:rsidRPr="00387A67">
        <w:rPr>
          <w:lang w:val="et-EE"/>
        </w:rPr>
        <w:t xml:space="preserve"> (lisaks negatiivsele loomulikule iibele) on tugevalt negatiivne rändeiive. Aastakeskmiselt on lahkunud</w:t>
      </w:r>
      <w:r w:rsidR="002C0F45" w:rsidRPr="00387A67">
        <w:rPr>
          <w:lang w:val="et-EE"/>
        </w:rPr>
        <w:t xml:space="preserve"> 1,5</w:t>
      </w:r>
      <w:r w:rsidRPr="00387A67">
        <w:rPr>
          <w:lang w:val="et-EE"/>
        </w:rPr>
        <w:t xml:space="preserve">% </w:t>
      </w:r>
      <w:r w:rsidR="00E61462" w:rsidRPr="00387A67">
        <w:rPr>
          <w:lang w:val="et-EE"/>
        </w:rPr>
        <w:t>piirkonna</w:t>
      </w:r>
      <w:r w:rsidRPr="00387A67">
        <w:rPr>
          <w:lang w:val="et-EE"/>
        </w:rPr>
        <w:t xml:space="preserve"> elanikkonnast ehk </w:t>
      </w:r>
      <w:r w:rsidR="002C0F45" w:rsidRPr="00387A67">
        <w:rPr>
          <w:lang w:val="et-EE"/>
        </w:rPr>
        <w:t>149</w:t>
      </w:r>
      <w:r w:rsidRPr="00387A67">
        <w:rPr>
          <w:lang w:val="et-EE"/>
        </w:rPr>
        <w:t xml:space="preserve"> elaniku enam kui saabunud. (vt joonis 5). </w:t>
      </w:r>
    </w:p>
    <w:p w14:paraId="0CFC7DDB" w14:textId="77777777" w:rsidR="00821111" w:rsidRPr="00387A67" w:rsidRDefault="00821111" w:rsidP="00821111">
      <w:pPr>
        <w:jc w:val="both"/>
        <w:rPr>
          <w:lang w:val="et-EE"/>
        </w:rPr>
      </w:pPr>
    </w:p>
    <w:p w14:paraId="4D74EA96" w14:textId="77777777" w:rsidR="00821111" w:rsidRPr="00387A67" w:rsidRDefault="002C0F45" w:rsidP="00821111">
      <w:pPr>
        <w:rPr>
          <w:lang w:val="et-EE"/>
        </w:rPr>
      </w:pPr>
      <w:r w:rsidRPr="00387A67">
        <w:rPr>
          <w:noProof/>
        </w:rPr>
        <w:drawing>
          <wp:inline distT="0" distB="0" distL="0" distR="0" wp14:anchorId="3F083E11" wp14:editId="3A41D6B3">
            <wp:extent cx="5799455" cy="2887133"/>
            <wp:effectExtent l="0" t="0" r="10795" b="8890"/>
            <wp:docPr id="5" name="Chart 5">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5866E5"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5</w:t>
      </w:r>
      <w:r w:rsidRPr="00387A67">
        <w:rPr>
          <w:rFonts w:cs="Times New Roman"/>
          <w:color w:val="auto"/>
          <w:sz w:val="24"/>
          <w:szCs w:val="24"/>
        </w:rPr>
        <w:fldChar w:fldCharType="end"/>
      </w:r>
      <w:r w:rsidRPr="00387A67">
        <w:rPr>
          <w:rFonts w:cs="Times New Roman"/>
          <w:color w:val="auto"/>
          <w:sz w:val="24"/>
          <w:szCs w:val="24"/>
        </w:rPr>
        <w:t xml:space="preserve">. Ränne </w:t>
      </w:r>
      <w:r w:rsidR="0042696A" w:rsidRPr="00387A67">
        <w:rPr>
          <w:rFonts w:cs="Times New Roman"/>
          <w:color w:val="auto"/>
          <w:sz w:val="24"/>
          <w:szCs w:val="24"/>
        </w:rPr>
        <w:t>Kiviõli piirkonnas 2014</w:t>
      </w:r>
      <w:r w:rsidRPr="00387A67">
        <w:rPr>
          <w:rFonts w:cs="Times New Roman"/>
          <w:color w:val="auto"/>
          <w:sz w:val="24"/>
          <w:szCs w:val="24"/>
        </w:rPr>
        <w:t>-2016</w:t>
      </w:r>
    </w:p>
    <w:p w14:paraId="6F700FF8" w14:textId="77777777" w:rsidR="002C0F45" w:rsidRPr="00387A67" w:rsidRDefault="002C0F45" w:rsidP="00821111">
      <w:pPr>
        <w:jc w:val="both"/>
        <w:rPr>
          <w:lang w:val="et-EE"/>
        </w:rPr>
      </w:pPr>
      <w:r w:rsidRPr="00387A67">
        <w:rPr>
          <w:lang w:val="et-EE"/>
        </w:rPr>
        <w:lastRenderedPageBreak/>
        <w:t>Aastakeskmiselt on enim elanike kaotanud Lüganuse vald (2,1%), Kiviõli linnas oli vastav näitaja 1,6% ja Sonda vallas 0,8%. Piirkonna omavalitsuste vahel ümberpaiknenud elanike arv on püsinud stabiilne (u 70 inimest aastas). Omavalitsuste siseselt on elukohta vahetanud enam kui 200 inimest aastas.</w:t>
      </w:r>
    </w:p>
    <w:p w14:paraId="39218073" w14:textId="77777777" w:rsidR="00821111" w:rsidRPr="00387A67" w:rsidRDefault="00821111" w:rsidP="00821111">
      <w:pPr>
        <w:jc w:val="both"/>
        <w:rPr>
          <w:lang w:val="et-EE"/>
        </w:rPr>
      </w:pPr>
    </w:p>
    <w:p w14:paraId="55499038" w14:textId="77777777" w:rsidR="00821111" w:rsidRPr="00387A67" w:rsidRDefault="00821111" w:rsidP="00821111">
      <w:pPr>
        <w:jc w:val="both"/>
        <w:rPr>
          <w:lang w:val="et-EE"/>
        </w:rPr>
      </w:pPr>
      <w:r w:rsidRPr="00387A67">
        <w:rPr>
          <w:lang w:val="et-EE"/>
        </w:rPr>
        <w:t>Seejuures on liikuvad enamasti noored inimesed koos las</w:t>
      </w:r>
      <w:r w:rsidR="002C0F45" w:rsidRPr="00387A67">
        <w:rPr>
          <w:lang w:val="et-EE"/>
        </w:rPr>
        <w:t>tega – vanuserühmad 0-9 ja 20-44</w:t>
      </w:r>
      <w:r w:rsidRPr="00387A67">
        <w:rPr>
          <w:lang w:val="et-EE"/>
        </w:rPr>
        <w:t xml:space="preserve"> eluaastat (joonis 6). Lahkujate arv ületab saabujaid igas vanuserühmas </w:t>
      </w:r>
      <w:r w:rsidR="002C0F45" w:rsidRPr="00387A67">
        <w:rPr>
          <w:lang w:val="et-EE"/>
        </w:rPr>
        <w:t>v.a. 5-9 ja</w:t>
      </w:r>
      <w:r w:rsidR="00037F89" w:rsidRPr="00387A67">
        <w:rPr>
          <w:lang w:val="et-EE"/>
        </w:rPr>
        <w:t xml:space="preserve"> 50-54 aastased.</w:t>
      </w:r>
    </w:p>
    <w:p w14:paraId="022EA963" w14:textId="77777777" w:rsidR="00821111" w:rsidRPr="00387A67" w:rsidRDefault="00821111" w:rsidP="00821111">
      <w:pPr>
        <w:jc w:val="both"/>
        <w:rPr>
          <w:lang w:val="et-EE"/>
        </w:rPr>
      </w:pPr>
    </w:p>
    <w:p w14:paraId="5324E3CD" w14:textId="77777777" w:rsidR="00821111" w:rsidRPr="00387A67" w:rsidRDefault="002C0F45" w:rsidP="00821111">
      <w:pPr>
        <w:jc w:val="both"/>
        <w:rPr>
          <w:lang w:val="et-EE"/>
        </w:rPr>
      </w:pPr>
      <w:r w:rsidRPr="00387A67">
        <w:rPr>
          <w:noProof/>
        </w:rPr>
        <w:drawing>
          <wp:inline distT="0" distB="0" distL="0" distR="0" wp14:anchorId="0AD65BF6" wp14:editId="5C92920E">
            <wp:extent cx="5782733" cy="2771140"/>
            <wp:effectExtent l="0" t="0" r="8890" b="10160"/>
            <wp:docPr id="6" name="Chart 6">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440917"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6</w:t>
      </w:r>
      <w:r w:rsidRPr="00387A67">
        <w:rPr>
          <w:rFonts w:cs="Times New Roman"/>
          <w:color w:val="auto"/>
          <w:sz w:val="24"/>
          <w:szCs w:val="24"/>
        </w:rPr>
        <w:fldChar w:fldCharType="end"/>
      </w:r>
      <w:r w:rsidRPr="00387A67">
        <w:rPr>
          <w:rFonts w:cs="Times New Roman"/>
          <w:color w:val="auto"/>
          <w:sz w:val="24"/>
          <w:szCs w:val="24"/>
        </w:rPr>
        <w:t>. Rändajate arv</w:t>
      </w:r>
      <w:r w:rsidR="00037F89" w:rsidRPr="00387A67">
        <w:rPr>
          <w:rFonts w:cs="Times New Roman"/>
          <w:color w:val="auto"/>
          <w:sz w:val="24"/>
          <w:szCs w:val="24"/>
        </w:rPr>
        <w:t>ukus</w:t>
      </w:r>
      <w:r w:rsidRPr="00387A67">
        <w:rPr>
          <w:rFonts w:cs="Times New Roman"/>
          <w:color w:val="auto"/>
          <w:sz w:val="24"/>
          <w:szCs w:val="24"/>
        </w:rPr>
        <w:t xml:space="preserve"> vanuserühmades </w:t>
      </w:r>
      <w:r w:rsidR="00037F89" w:rsidRPr="00387A67">
        <w:rPr>
          <w:rFonts w:cs="Times New Roman"/>
          <w:color w:val="auto"/>
          <w:sz w:val="24"/>
          <w:szCs w:val="24"/>
        </w:rPr>
        <w:t>2014</w:t>
      </w:r>
      <w:r w:rsidRPr="00387A67">
        <w:rPr>
          <w:rFonts w:cs="Times New Roman"/>
          <w:color w:val="auto"/>
          <w:sz w:val="24"/>
          <w:szCs w:val="24"/>
        </w:rPr>
        <w:t>-2016</w:t>
      </w:r>
    </w:p>
    <w:p w14:paraId="521D8B20" w14:textId="77777777" w:rsidR="00821111" w:rsidRPr="00387A67" w:rsidRDefault="00821111" w:rsidP="00821111">
      <w:pPr>
        <w:jc w:val="both"/>
        <w:rPr>
          <w:lang w:val="et-EE"/>
        </w:rPr>
      </w:pPr>
      <w:r w:rsidRPr="00387A67">
        <w:rPr>
          <w:lang w:val="et-EE"/>
        </w:rPr>
        <w:t xml:space="preserve">Peamine </w:t>
      </w:r>
      <w:r w:rsidR="00586858" w:rsidRPr="00387A67">
        <w:rPr>
          <w:lang w:val="et-EE"/>
        </w:rPr>
        <w:t xml:space="preserve">täheldatav </w:t>
      </w:r>
      <w:r w:rsidRPr="00387A67">
        <w:rPr>
          <w:lang w:val="et-EE"/>
        </w:rPr>
        <w:t>muutus rändajate</w:t>
      </w:r>
      <w:r w:rsidR="00037F89" w:rsidRPr="00387A67">
        <w:rPr>
          <w:lang w:val="et-EE"/>
        </w:rPr>
        <w:t xml:space="preserve"> vanusestruktuuris aastatel 2014</w:t>
      </w:r>
      <w:r w:rsidRPr="00387A67">
        <w:rPr>
          <w:lang w:val="et-EE"/>
        </w:rPr>
        <w:t xml:space="preserve">-2016 on väljarändes </w:t>
      </w:r>
      <w:r w:rsidR="00037F89" w:rsidRPr="00387A67">
        <w:rPr>
          <w:lang w:val="et-EE"/>
        </w:rPr>
        <w:t xml:space="preserve"> vanuserühma 20-25</w:t>
      </w:r>
      <w:r w:rsidRPr="00387A67">
        <w:rPr>
          <w:lang w:val="et-EE"/>
        </w:rPr>
        <w:t xml:space="preserve"> osakaalu suurenemine ja </w:t>
      </w:r>
      <w:r w:rsidR="00586858" w:rsidRPr="00387A67">
        <w:rPr>
          <w:lang w:val="et-EE"/>
        </w:rPr>
        <w:t>vanuserühmade 10</w:t>
      </w:r>
      <w:r w:rsidRPr="00387A67">
        <w:rPr>
          <w:lang w:val="et-EE"/>
        </w:rPr>
        <w:t>-</w:t>
      </w:r>
      <w:r w:rsidR="00586858" w:rsidRPr="00387A67">
        <w:rPr>
          <w:lang w:val="et-EE"/>
        </w:rPr>
        <w:t>1</w:t>
      </w:r>
      <w:r w:rsidRPr="00387A67">
        <w:rPr>
          <w:lang w:val="et-EE"/>
        </w:rPr>
        <w:t xml:space="preserve">9 sisserände </w:t>
      </w:r>
      <w:r w:rsidR="00586858" w:rsidRPr="00387A67">
        <w:rPr>
          <w:lang w:val="et-EE"/>
        </w:rPr>
        <w:t>suurenemine</w:t>
      </w:r>
      <w:r w:rsidRPr="00387A67">
        <w:rPr>
          <w:lang w:val="et-EE"/>
        </w:rPr>
        <w:t xml:space="preserve">. Rändajate sooline jaotus sõltub vanusest. Kuigi see on täheldatav ka saabujate puhul, siis lahkujate osas tuleb selgelt välja, et 20-30 aastates </w:t>
      </w:r>
      <w:r w:rsidR="00586858" w:rsidRPr="00387A67">
        <w:rPr>
          <w:lang w:val="et-EE"/>
        </w:rPr>
        <w:t>mehi</w:t>
      </w:r>
      <w:r w:rsidRPr="00387A67">
        <w:rPr>
          <w:lang w:val="et-EE"/>
        </w:rPr>
        <w:t xml:space="preserve"> lahku</w:t>
      </w:r>
      <w:r w:rsidR="00586858" w:rsidRPr="00387A67">
        <w:rPr>
          <w:lang w:val="et-EE"/>
        </w:rPr>
        <w:t>b enam</w:t>
      </w:r>
      <w:r w:rsidRPr="00387A67">
        <w:rPr>
          <w:lang w:val="et-EE"/>
        </w:rPr>
        <w:t xml:space="preserve"> kui </w:t>
      </w:r>
      <w:r w:rsidR="00586858" w:rsidRPr="00387A67">
        <w:rPr>
          <w:lang w:val="et-EE"/>
        </w:rPr>
        <w:t>naisi</w:t>
      </w:r>
      <w:r w:rsidRPr="00387A67">
        <w:rPr>
          <w:lang w:val="et-EE"/>
        </w:rPr>
        <w:t>.</w:t>
      </w:r>
    </w:p>
    <w:p w14:paraId="526F274F" w14:textId="77777777" w:rsidR="00821111" w:rsidRPr="00387A67" w:rsidRDefault="00821111" w:rsidP="00821111">
      <w:pPr>
        <w:rPr>
          <w:lang w:val="et-EE"/>
        </w:rPr>
      </w:pPr>
    </w:p>
    <w:p w14:paraId="0D43F5FE" w14:textId="77777777" w:rsidR="00821111" w:rsidRPr="00387A67" w:rsidRDefault="00037F89" w:rsidP="00821111">
      <w:pPr>
        <w:rPr>
          <w:lang w:val="et-EE"/>
        </w:rPr>
      </w:pPr>
      <w:r w:rsidRPr="00387A67">
        <w:rPr>
          <w:noProof/>
        </w:rPr>
        <w:drawing>
          <wp:inline distT="0" distB="0" distL="0" distR="0" wp14:anchorId="7DFA0AEF" wp14:editId="7C826995">
            <wp:extent cx="5740400" cy="2915920"/>
            <wp:effectExtent l="0" t="0" r="12700" b="17780"/>
            <wp:docPr id="8" name="Chart 8">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40C128"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7</w:t>
      </w:r>
      <w:r w:rsidRPr="00387A67">
        <w:rPr>
          <w:rFonts w:cs="Times New Roman"/>
          <w:color w:val="auto"/>
          <w:sz w:val="24"/>
          <w:szCs w:val="24"/>
        </w:rPr>
        <w:fldChar w:fldCharType="end"/>
      </w:r>
      <w:r w:rsidRPr="00387A67">
        <w:rPr>
          <w:rFonts w:cs="Times New Roman"/>
          <w:color w:val="auto"/>
          <w:sz w:val="24"/>
          <w:szCs w:val="24"/>
        </w:rPr>
        <w:t xml:space="preserve">. Väljarändajate soolis-vanuseline jaotus </w:t>
      </w:r>
      <w:r w:rsidR="00037F89" w:rsidRPr="00387A67">
        <w:rPr>
          <w:rFonts w:cs="Times New Roman"/>
          <w:color w:val="auto"/>
          <w:sz w:val="24"/>
          <w:szCs w:val="24"/>
        </w:rPr>
        <w:t>Kiviõli piirkonnas 2014</w:t>
      </w:r>
      <w:r w:rsidRPr="00387A67">
        <w:rPr>
          <w:rFonts w:cs="Times New Roman"/>
          <w:color w:val="auto"/>
          <w:sz w:val="24"/>
          <w:szCs w:val="24"/>
        </w:rPr>
        <w:t>-2016</w:t>
      </w:r>
    </w:p>
    <w:p w14:paraId="663ED1A1" w14:textId="77777777" w:rsidR="00821111" w:rsidRPr="00387A67" w:rsidRDefault="00821111" w:rsidP="00821111">
      <w:pPr>
        <w:jc w:val="both"/>
        <w:rPr>
          <w:lang w:val="et-EE"/>
        </w:rPr>
      </w:pPr>
      <w:r w:rsidRPr="00387A67">
        <w:rPr>
          <w:lang w:val="et-EE"/>
        </w:rPr>
        <w:lastRenderedPageBreak/>
        <w:t>Vaadeldes rändevoogusid sisserände lähteomavalitsuse ja väljarände sihtomavalitsuse seisukohalt, on mõlemal juhul esikohal Tallinna linn</w:t>
      </w:r>
      <w:r w:rsidR="00EA1636" w:rsidRPr="00387A67">
        <w:rPr>
          <w:lang w:val="et-EE"/>
        </w:rPr>
        <w:t>. Oluline rahvastikuvahetus toimub veel</w:t>
      </w:r>
      <w:r w:rsidRPr="00387A67">
        <w:rPr>
          <w:lang w:val="et-EE"/>
        </w:rPr>
        <w:t xml:space="preserve"> </w:t>
      </w:r>
      <w:r w:rsidR="00EA1636" w:rsidRPr="00387A67">
        <w:rPr>
          <w:lang w:val="et-EE"/>
        </w:rPr>
        <w:t>piirkonna suuremate maakonnakeskuste</w:t>
      </w:r>
      <w:r w:rsidRPr="00387A67">
        <w:rPr>
          <w:lang w:val="et-EE"/>
        </w:rPr>
        <w:t xml:space="preserve"> ja</w:t>
      </w:r>
      <w:r w:rsidR="00EA1636" w:rsidRPr="00387A67">
        <w:rPr>
          <w:lang w:val="et-EE"/>
        </w:rPr>
        <w:t xml:space="preserve"> Soome erinevate</w:t>
      </w:r>
      <w:r w:rsidR="00586858" w:rsidRPr="00387A67">
        <w:rPr>
          <w:lang w:val="et-EE"/>
        </w:rPr>
        <w:t xml:space="preserve"> omavalitsus</w:t>
      </w:r>
      <w:r w:rsidR="00EA1636" w:rsidRPr="00387A67">
        <w:rPr>
          <w:lang w:val="et-EE"/>
        </w:rPr>
        <w:t>tega</w:t>
      </w:r>
      <w:r w:rsidRPr="00387A67">
        <w:rPr>
          <w:lang w:val="et-EE"/>
        </w:rPr>
        <w:t xml:space="preserve">. Kui sisserändajad pärinevad lisaks nimetatutele peamiselt lähedal asuvatest omavalitsustest, siis väljarändajate sihtkohaks on lisaks riigi suurematele keskustele </w:t>
      </w:r>
      <w:r w:rsidR="007867C3" w:rsidRPr="00387A67">
        <w:rPr>
          <w:lang w:val="et-EE"/>
        </w:rPr>
        <w:t>ka nende tagamaa. Kõige enam</w:t>
      </w:r>
      <w:r w:rsidRPr="00387A67">
        <w:rPr>
          <w:lang w:val="et-EE"/>
        </w:rPr>
        <w:t xml:space="preserve"> on </w:t>
      </w:r>
      <w:r w:rsidR="007867C3" w:rsidRPr="00387A67">
        <w:rPr>
          <w:lang w:val="et-EE"/>
        </w:rPr>
        <w:t>piirkond aastatel 2014</w:t>
      </w:r>
      <w:r w:rsidRPr="00387A67">
        <w:rPr>
          <w:lang w:val="et-EE"/>
        </w:rPr>
        <w:t xml:space="preserve">-2016 kaotanud rahvastiku Tallinna linnale (joonis 8). </w:t>
      </w:r>
    </w:p>
    <w:p w14:paraId="12FCECE1" w14:textId="77777777" w:rsidR="00586858" w:rsidRPr="00387A67" w:rsidRDefault="00586858" w:rsidP="00821111">
      <w:pPr>
        <w:rPr>
          <w:lang w:val="et-EE"/>
        </w:rPr>
      </w:pPr>
    </w:p>
    <w:p w14:paraId="0C1820A0" w14:textId="77777777" w:rsidR="00586858" w:rsidRPr="00387A67" w:rsidRDefault="00586858" w:rsidP="00821111">
      <w:pPr>
        <w:pStyle w:val="Pealdis"/>
        <w:rPr>
          <w:rFonts w:cs="Times New Roman"/>
          <w:color w:val="auto"/>
          <w:sz w:val="24"/>
          <w:szCs w:val="24"/>
        </w:rPr>
      </w:pPr>
      <w:r w:rsidRPr="00387A67">
        <w:rPr>
          <w:noProof/>
          <w:lang w:val="en-US"/>
        </w:rPr>
        <w:drawing>
          <wp:inline distT="0" distB="0" distL="0" distR="0" wp14:anchorId="32197596" wp14:editId="15C0CA18">
            <wp:extent cx="5765800" cy="1896534"/>
            <wp:effectExtent l="0" t="0" r="6350" b="8890"/>
            <wp:docPr id="20" name="Chart 20">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A84609"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8</w:t>
      </w:r>
      <w:r w:rsidRPr="00387A67">
        <w:rPr>
          <w:rFonts w:cs="Times New Roman"/>
          <w:color w:val="auto"/>
          <w:sz w:val="24"/>
          <w:szCs w:val="24"/>
        </w:rPr>
        <w:fldChar w:fldCharType="end"/>
      </w:r>
      <w:r w:rsidRPr="00387A67">
        <w:rPr>
          <w:rFonts w:cs="Times New Roman"/>
          <w:color w:val="auto"/>
          <w:sz w:val="24"/>
          <w:szCs w:val="24"/>
        </w:rPr>
        <w:t xml:space="preserve">. Rändesaldo </w:t>
      </w:r>
      <w:r w:rsidR="007867C3" w:rsidRPr="00387A67">
        <w:rPr>
          <w:rFonts w:cs="Times New Roman"/>
          <w:color w:val="auto"/>
          <w:sz w:val="24"/>
          <w:szCs w:val="24"/>
        </w:rPr>
        <w:t>Kiviõli</w:t>
      </w:r>
      <w:r w:rsidRPr="00387A67">
        <w:rPr>
          <w:rFonts w:cs="Times New Roman"/>
          <w:color w:val="auto"/>
          <w:sz w:val="24"/>
          <w:szCs w:val="24"/>
        </w:rPr>
        <w:t xml:space="preserve"> </w:t>
      </w:r>
      <w:r w:rsidR="007867C3" w:rsidRPr="00387A67">
        <w:rPr>
          <w:rFonts w:cs="Times New Roman"/>
          <w:color w:val="auto"/>
          <w:sz w:val="24"/>
          <w:szCs w:val="24"/>
        </w:rPr>
        <w:t>piirkonnas</w:t>
      </w:r>
      <w:r w:rsidRPr="00387A67">
        <w:rPr>
          <w:rFonts w:cs="Times New Roman"/>
          <w:color w:val="auto"/>
          <w:sz w:val="24"/>
          <w:szCs w:val="24"/>
        </w:rPr>
        <w:t xml:space="preserve"> l</w:t>
      </w:r>
      <w:r w:rsidR="00586858" w:rsidRPr="00387A67">
        <w:rPr>
          <w:rFonts w:cs="Times New Roman"/>
          <w:color w:val="auto"/>
          <w:sz w:val="24"/>
          <w:szCs w:val="24"/>
        </w:rPr>
        <w:t>ähte- ja sihtkohtade lõikes 2014</w:t>
      </w:r>
      <w:r w:rsidRPr="00387A67">
        <w:rPr>
          <w:rFonts w:cs="Times New Roman"/>
          <w:color w:val="auto"/>
          <w:sz w:val="24"/>
          <w:szCs w:val="24"/>
        </w:rPr>
        <w:t>-2016</w:t>
      </w:r>
    </w:p>
    <w:p w14:paraId="16938BAF" w14:textId="77777777" w:rsidR="00821111" w:rsidRPr="00387A67" w:rsidRDefault="007867C3" w:rsidP="00821111">
      <w:pPr>
        <w:jc w:val="both"/>
        <w:rPr>
          <w:lang w:val="et-EE"/>
        </w:rPr>
      </w:pPr>
      <w:r w:rsidRPr="00387A67">
        <w:rPr>
          <w:lang w:val="et-EE"/>
        </w:rPr>
        <w:t>Välisränne moodustab ligi 20% kogu rändemahust. Palju on teadmata kohast saabujaid. R</w:t>
      </w:r>
      <w:r w:rsidR="00821111" w:rsidRPr="00387A67">
        <w:rPr>
          <w:lang w:val="et-EE"/>
        </w:rPr>
        <w:t xml:space="preserve">ändesaldo tugevalt negatiivne Soome riigiga – lahkunud on </w:t>
      </w:r>
      <w:r w:rsidRPr="00387A67">
        <w:rPr>
          <w:lang w:val="et-EE"/>
        </w:rPr>
        <w:t>46</w:t>
      </w:r>
      <w:r w:rsidR="00821111" w:rsidRPr="00387A67">
        <w:rPr>
          <w:lang w:val="et-EE"/>
        </w:rPr>
        <w:t xml:space="preserve"> in</w:t>
      </w:r>
      <w:r w:rsidRPr="00387A67">
        <w:rPr>
          <w:lang w:val="et-EE"/>
        </w:rPr>
        <w:t>imest enam kui (tagasi)saabunud, s</w:t>
      </w:r>
      <w:r w:rsidR="00821111" w:rsidRPr="00387A67">
        <w:rPr>
          <w:lang w:val="et-EE"/>
        </w:rPr>
        <w:t>eejuures moodustab rahva</w:t>
      </w:r>
      <w:r w:rsidRPr="00387A67">
        <w:rPr>
          <w:lang w:val="et-EE"/>
        </w:rPr>
        <w:t>stikuvahetus Soomega enam kui 35% v</w:t>
      </w:r>
      <w:r w:rsidR="00821111" w:rsidRPr="00387A67">
        <w:rPr>
          <w:lang w:val="et-EE"/>
        </w:rPr>
        <w:t>älisrände kogumahust.</w:t>
      </w:r>
    </w:p>
    <w:p w14:paraId="356265D5" w14:textId="77777777" w:rsidR="00821111" w:rsidRPr="00387A67" w:rsidRDefault="00821111" w:rsidP="00821111">
      <w:pPr>
        <w:rPr>
          <w:lang w:val="et-EE"/>
        </w:rPr>
      </w:pPr>
    </w:p>
    <w:p w14:paraId="1AE96B22" w14:textId="77777777" w:rsidR="00821111" w:rsidRPr="00387A67" w:rsidRDefault="00821111" w:rsidP="00821111">
      <w:pPr>
        <w:pStyle w:val="Pealkiri3"/>
        <w:numPr>
          <w:ilvl w:val="1"/>
          <w:numId w:val="5"/>
        </w:numPr>
        <w:jc w:val="left"/>
        <w:rPr>
          <w:b/>
          <w:color w:val="auto"/>
        </w:rPr>
      </w:pPr>
      <w:r w:rsidRPr="00387A67">
        <w:rPr>
          <w:b/>
          <w:color w:val="auto"/>
        </w:rPr>
        <w:t xml:space="preserve">Rahvastikuprognoos </w:t>
      </w:r>
    </w:p>
    <w:p w14:paraId="07BFA729" w14:textId="77777777" w:rsidR="00821111" w:rsidRPr="00387A67" w:rsidRDefault="00821111" w:rsidP="00821111">
      <w:pPr>
        <w:rPr>
          <w:lang w:val="et-EE"/>
        </w:rPr>
      </w:pPr>
    </w:p>
    <w:p w14:paraId="5E7C7F06" w14:textId="77777777" w:rsidR="00821111" w:rsidRPr="00387A67" w:rsidRDefault="00821111" w:rsidP="00821111">
      <w:pPr>
        <w:jc w:val="both"/>
        <w:rPr>
          <w:rFonts w:eastAsia="Times New Roman"/>
          <w:lang w:val="et-EE" w:eastAsia="et-EE"/>
        </w:rPr>
      </w:pPr>
      <w:r w:rsidRPr="00387A67">
        <w:rPr>
          <w:rFonts w:eastAsia="Times New Roman"/>
          <w:lang w:val="et-EE" w:eastAsia="et-EE"/>
        </w:rPr>
        <w:t>Perspektiivse teenusevajaduse määramise aluseks on koostatud rahvastikuprognoos, mis põhineb 2017. aasta 1. jaanuari seisuga rahvastikuregistri andmebaasis fikseeritud rahvastiku soolisel- ja vanusjaotusel ning diferentseeritud sündimus-, suremus- ja rände-eeldustel.</w:t>
      </w:r>
    </w:p>
    <w:p w14:paraId="6921ECAF" w14:textId="77777777" w:rsidR="00821111" w:rsidRPr="00387A67" w:rsidRDefault="00821111" w:rsidP="00821111">
      <w:pPr>
        <w:jc w:val="both"/>
        <w:rPr>
          <w:rFonts w:eastAsia="Times New Roman"/>
          <w:lang w:val="et-EE" w:eastAsia="et-EE"/>
        </w:rPr>
      </w:pPr>
    </w:p>
    <w:p w14:paraId="5581D7CE" w14:textId="77777777" w:rsidR="00821111" w:rsidRPr="00387A67" w:rsidRDefault="00821111" w:rsidP="00821111">
      <w:pPr>
        <w:jc w:val="both"/>
        <w:rPr>
          <w:rFonts w:eastAsia="Times New Roman"/>
          <w:lang w:val="et-EE" w:eastAsia="et-EE"/>
        </w:rPr>
      </w:pPr>
      <w:r w:rsidRPr="00387A67">
        <w:rPr>
          <w:rFonts w:eastAsia="Times New Roman"/>
          <w:lang w:val="et-EE" w:eastAsia="et-EE"/>
        </w:rPr>
        <w:t xml:space="preserve">Prognoosi väljundiks on </w:t>
      </w:r>
      <w:r w:rsidR="007867C3" w:rsidRPr="00387A67">
        <w:rPr>
          <w:rFonts w:eastAsia="Times New Roman"/>
          <w:lang w:val="et-EE" w:eastAsia="et-EE"/>
        </w:rPr>
        <w:t>Kiviõli piirkonna</w:t>
      </w:r>
      <w:r w:rsidRPr="00387A67">
        <w:rPr>
          <w:rFonts w:eastAsia="Times New Roman"/>
          <w:lang w:val="et-EE" w:eastAsia="et-EE"/>
        </w:rPr>
        <w:t xml:space="preserve"> kohta koostatud kaks stsenaariumit, millel</w:t>
      </w:r>
      <w:r w:rsidR="008C4935" w:rsidRPr="00387A67">
        <w:rPr>
          <w:rFonts w:eastAsia="Times New Roman"/>
          <w:lang w:val="et-EE" w:eastAsia="et-EE"/>
        </w:rPr>
        <w:t>e</w:t>
      </w:r>
      <w:r w:rsidRPr="00387A67">
        <w:rPr>
          <w:rFonts w:eastAsia="Times New Roman"/>
          <w:lang w:val="et-EE" w:eastAsia="et-EE"/>
        </w:rPr>
        <w:t xml:space="preserve"> on eelkõige hetkeolukorra analüüsi alusel püstitatud järgnevad </w:t>
      </w:r>
      <w:r w:rsidR="008C4935" w:rsidRPr="00387A67">
        <w:rPr>
          <w:rFonts w:eastAsia="Times New Roman"/>
          <w:lang w:val="et-EE" w:eastAsia="et-EE"/>
        </w:rPr>
        <w:t>eeldused</w:t>
      </w:r>
      <w:r w:rsidRPr="00387A67">
        <w:rPr>
          <w:rFonts w:eastAsia="Times New Roman"/>
          <w:lang w:val="et-EE" w:eastAsia="et-EE"/>
        </w:rPr>
        <w:t>:</w:t>
      </w:r>
    </w:p>
    <w:p w14:paraId="7140D8B1" w14:textId="77777777" w:rsidR="00821111" w:rsidRPr="00387A67" w:rsidRDefault="00821111" w:rsidP="00821111">
      <w:pPr>
        <w:jc w:val="both"/>
        <w:rPr>
          <w:b/>
          <w:lang w:val="et-EE"/>
        </w:rPr>
      </w:pPr>
    </w:p>
    <w:p w14:paraId="5FC5FCDA" w14:textId="77777777" w:rsidR="00821111" w:rsidRPr="00387A67" w:rsidRDefault="00821111" w:rsidP="00821111">
      <w:pPr>
        <w:jc w:val="both"/>
        <w:rPr>
          <w:lang w:val="et-EE"/>
        </w:rPr>
      </w:pPr>
      <w:r w:rsidRPr="00387A67">
        <w:rPr>
          <w:b/>
          <w:lang w:val="et-EE"/>
        </w:rPr>
        <w:t>Baas-stsenaarium</w:t>
      </w:r>
      <w:r w:rsidRPr="00387A67">
        <w:rPr>
          <w:lang w:val="et-EE"/>
        </w:rPr>
        <w:t xml:space="preserve"> – rändeprotsessidega ei ole arvestatud ehk siis stsenaarium iseloomustab rahvastiku sisemist taastevõimet. Sündimuse aluseks on </w:t>
      </w:r>
      <w:r w:rsidR="007867C3" w:rsidRPr="00387A67">
        <w:rPr>
          <w:lang w:val="et-EE"/>
        </w:rPr>
        <w:t>piirkonna aastate 2014</w:t>
      </w:r>
      <w:r w:rsidRPr="00387A67">
        <w:rPr>
          <w:lang w:val="et-EE"/>
        </w:rPr>
        <w:t>-2016 keskmine summaarne sündimuskordaja (1,4</w:t>
      </w:r>
      <w:r w:rsidR="007867C3" w:rsidRPr="00387A67">
        <w:rPr>
          <w:lang w:val="et-EE"/>
        </w:rPr>
        <w:t>4</w:t>
      </w:r>
      <w:r w:rsidRPr="00387A67">
        <w:rPr>
          <w:lang w:val="et-EE"/>
        </w:rPr>
        <w:t xml:space="preserve"> last fertiises eas naise kohta), mis jääb samale tasemele terveks prognoosiperioodiks. Suremuse puhul on aluseks </w:t>
      </w:r>
      <w:r w:rsidR="007867C3" w:rsidRPr="00387A67">
        <w:rPr>
          <w:lang w:val="et-EE"/>
        </w:rPr>
        <w:t>Ida-Viru</w:t>
      </w:r>
      <w:r w:rsidRPr="00387A67">
        <w:rPr>
          <w:lang w:val="et-EE"/>
        </w:rPr>
        <w:t xml:space="preserve"> maakonna meeste ja naiste oodatav eluiga sünnimomendil aastal 2014/2015</w:t>
      </w:r>
      <w:r w:rsidR="008C4935" w:rsidRPr="00387A67">
        <w:rPr>
          <w:lang w:val="et-EE"/>
        </w:rPr>
        <w:t xml:space="preserve"> mõnevõrra kõrgemal tasemel</w:t>
      </w:r>
      <w:r w:rsidRPr="00387A67">
        <w:rPr>
          <w:lang w:val="et-EE"/>
        </w:rPr>
        <w:t xml:space="preserve"> (vastavalt </w:t>
      </w:r>
      <w:r w:rsidR="007867C3" w:rsidRPr="00387A67">
        <w:rPr>
          <w:lang w:val="et-EE"/>
        </w:rPr>
        <w:t>70</w:t>
      </w:r>
      <w:r w:rsidRPr="00387A67">
        <w:rPr>
          <w:lang w:val="et-EE"/>
        </w:rPr>
        <w:t xml:space="preserve"> ja 8</w:t>
      </w:r>
      <w:r w:rsidR="007867C3" w:rsidRPr="00387A67">
        <w:rPr>
          <w:lang w:val="et-EE"/>
        </w:rPr>
        <w:t>1,5</w:t>
      </w:r>
      <w:r w:rsidRPr="00387A67">
        <w:rPr>
          <w:lang w:val="et-EE"/>
        </w:rPr>
        <w:t xml:space="preserve"> eluaastat, Statistikaameti andmed), mis jääb samuti muutumatuks prognoosiperioodi lõpuni.</w:t>
      </w:r>
    </w:p>
    <w:p w14:paraId="49822F74" w14:textId="77777777" w:rsidR="00821111" w:rsidRPr="00387A67" w:rsidRDefault="00821111" w:rsidP="00821111">
      <w:pPr>
        <w:jc w:val="both"/>
        <w:rPr>
          <w:b/>
          <w:lang w:val="et-EE"/>
        </w:rPr>
      </w:pPr>
    </w:p>
    <w:p w14:paraId="22636370" w14:textId="77777777" w:rsidR="00821111" w:rsidRPr="00387A67" w:rsidRDefault="00821111" w:rsidP="00821111">
      <w:pPr>
        <w:jc w:val="both"/>
        <w:rPr>
          <w:lang w:val="et-EE"/>
        </w:rPr>
      </w:pPr>
      <w:r w:rsidRPr="00387A67">
        <w:rPr>
          <w:b/>
          <w:lang w:val="et-EE"/>
        </w:rPr>
        <w:t>Rände-stsenaarium</w:t>
      </w:r>
      <w:r w:rsidRPr="00387A67">
        <w:rPr>
          <w:lang w:val="et-EE"/>
        </w:rPr>
        <w:t xml:space="preserve"> – arvestatud on, et perioodil 20</w:t>
      </w:r>
      <w:r w:rsidR="007867C3" w:rsidRPr="00387A67">
        <w:rPr>
          <w:lang w:val="et-EE"/>
        </w:rPr>
        <w:t>14</w:t>
      </w:r>
      <w:r w:rsidRPr="00387A67">
        <w:rPr>
          <w:lang w:val="et-EE"/>
        </w:rPr>
        <w:t xml:space="preserve">-2016 toimunud, sooliselt- ja vanuseliselt diferentseeritud rändekäitumine jätkub, kuid sisse- ja väljaränne tasakaalustuvad aastaks 2030. Summaarne sündimuskordaja </w:t>
      </w:r>
      <w:r w:rsidR="008C4935" w:rsidRPr="00387A67">
        <w:rPr>
          <w:lang w:val="et-EE"/>
        </w:rPr>
        <w:t>kasvab</w:t>
      </w:r>
      <w:r w:rsidRPr="00387A67">
        <w:rPr>
          <w:lang w:val="et-EE"/>
        </w:rPr>
        <w:t xml:space="preserve"> tasemel</w:t>
      </w:r>
      <w:r w:rsidR="008C4935" w:rsidRPr="00387A67">
        <w:rPr>
          <w:lang w:val="et-EE"/>
        </w:rPr>
        <w:t>e</w:t>
      </w:r>
      <w:r w:rsidRPr="00387A67">
        <w:rPr>
          <w:lang w:val="et-EE"/>
        </w:rPr>
        <w:t xml:space="preserve"> 1,</w:t>
      </w:r>
      <w:r w:rsidR="008C4935" w:rsidRPr="00387A67">
        <w:rPr>
          <w:lang w:val="et-EE"/>
        </w:rPr>
        <w:t>6</w:t>
      </w:r>
      <w:r w:rsidRPr="00387A67">
        <w:rPr>
          <w:lang w:val="et-EE"/>
        </w:rPr>
        <w:t xml:space="preserve"> last naise kohta. Oodatav eluiga sünnimomendil jätkab viimasele kahele kümnendile omast kasvu ja tõuseb aastaks 2049 meestel </w:t>
      </w:r>
      <w:r w:rsidR="008C4935" w:rsidRPr="00387A67">
        <w:rPr>
          <w:lang w:val="et-EE"/>
        </w:rPr>
        <w:t>76,4 ja naistel 83,7</w:t>
      </w:r>
      <w:r w:rsidRPr="00387A67">
        <w:rPr>
          <w:lang w:val="et-EE"/>
        </w:rPr>
        <w:t xml:space="preserve"> eluaastani.</w:t>
      </w:r>
    </w:p>
    <w:p w14:paraId="59EA818C" w14:textId="77777777" w:rsidR="00821111" w:rsidRPr="00387A67" w:rsidRDefault="00821111" w:rsidP="00821111">
      <w:pPr>
        <w:jc w:val="both"/>
        <w:rPr>
          <w:lang w:val="et-EE"/>
        </w:rPr>
      </w:pPr>
    </w:p>
    <w:p w14:paraId="1478CB1A" w14:textId="77777777" w:rsidR="00821111" w:rsidRPr="00387A67" w:rsidRDefault="00821111" w:rsidP="00821111">
      <w:pPr>
        <w:jc w:val="both"/>
        <w:rPr>
          <w:lang w:val="et-EE"/>
        </w:rPr>
      </w:pPr>
      <w:r w:rsidRPr="00387A67">
        <w:rPr>
          <w:lang w:val="et-EE"/>
        </w:rPr>
        <w:t>Prognoosiperioodi pikkuseks on valitud 32 aastat. Kuni 16 aastasel perioodil on rahvastikuarengute peamiseks mõjutajaks rändeprotsessid, siis seejärel eelkõige soolis-</w:t>
      </w:r>
      <w:r w:rsidRPr="00387A67">
        <w:rPr>
          <w:lang w:val="et-EE"/>
        </w:rPr>
        <w:lastRenderedPageBreak/>
        <w:t xml:space="preserve">vanuseline struktuur ning sündimus- ja suremuskäitumine. Seetõttu, milliseks reaalsuses kujuneb </w:t>
      </w:r>
      <w:r w:rsidR="008C4935" w:rsidRPr="00387A67">
        <w:rPr>
          <w:lang w:val="et-EE"/>
        </w:rPr>
        <w:t>piirkonna</w:t>
      </w:r>
      <w:r w:rsidRPr="00387A67">
        <w:rPr>
          <w:lang w:val="et-EE"/>
        </w:rPr>
        <w:t xml:space="preserve"> rahvastiku dünaamika esimesel prognoosipoolel, sõltub peamiselt siiski lähituleviku tegelikust rändekäitumisest. Võttes arvesse väliskeskkonna kõrget muutlikust ei ole eraldi tõenäoseima stsenaariumi konstrueerimine asjakohane, kuna </w:t>
      </w:r>
      <w:r w:rsidR="008C4935" w:rsidRPr="00387A67">
        <w:rPr>
          <w:lang w:val="et-EE"/>
        </w:rPr>
        <w:t xml:space="preserve">stsenaariumid </w:t>
      </w:r>
      <w:r w:rsidRPr="00387A67">
        <w:rPr>
          <w:lang w:val="et-EE"/>
        </w:rPr>
        <w:t xml:space="preserve">näitavad ära </w:t>
      </w:r>
      <w:r w:rsidR="008C4935" w:rsidRPr="00387A67">
        <w:rPr>
          <w:lang w:val="et-EE"/>
        </w:rPr>
        <w:t xml:space="preserve">eeldatavalt </w:t>
      </w:r>
      <w:r w:rsidRPr="00387A67">
        <w:rPr>
          <w:lang w:val="et-EE"/>
        </w:rPr>
        <w:t>toimuvate protsesside iseloomu ja võimaliku ulatuse.</w:t>
      </w:r>
    </w:p>
    <w:p w14:paraId="791465DB" w14:textId="77777777" w:rsidR="00821111" w:rsidRPr="00387A67" w:rsidRDefault="00821111" w:rsidP="00821111">
      <w:pPr>
        <w:jc w:val="both"/>
        <w:rPr>
          <w:lang w:val="et-EE"/>
        </w:rPr>
      </w:pPr>
      <w:r w:rsidRPr="00387A67">
        <w:rPr>
          <w:lang w:val="et-EE"/>
        </w:rPr>
        <w:t xml:space="preserve"> </w:t>
      </w:r>
    </w:p>
    <w:p w14:paraId="1E94725B" w14:textId="77777777" w:rsidR="00821111" w:rsidRPr="00387A67" w:rsidRDefault="00821111" w:rsidP="00821111">
      <w:pPr>
        <w:jc w:val="both"/>
        <w:rPr>
          <w:rFonts w:eastAsia="Times New Roman"/>
          <w:lang w:val="et-EE" w:eastAsia="et-EE"/>
        </w:rPr>
      </w:pPr>
      <w:r w:rsidRPr="00387A67">
        <w:rPr>
          <w:rFonts w:eastAsia="Times New Roman"/>
          <w:lang w:val="et-EE" w:eastAsia="et-EE"/>
        </w:rPr>
        <w:t>Prognoosistsenaariumite koostamiseks on kasutatud tarkvarapaketti Spectrum v 5.34.</w:t>
      </w:r>
    </w:p>
    <w:p w14:paraId="3FF3C0D6" w14:textId="77777777" w:rsidR="00821111" w:rsidRPr="00387A67" w:rsidRDefault="00821111" w:rsidP="00821111">
      <w:pPr>
        <w:jc w:val="both"/>
        <w:rPr>
          <w:lang w:val="et-EE"/>
        </w:rPr>
      </w:pPr>
    </w:p>
    <w:p w14:paraId="053998EE" w14:textId="77777777" w:rsidR="00821111" w:rsidRPr="00387A67" w:rsidRDefault="00821111" w:rsidP="00821111">
      <w:pPr>
        <w:jc w:val="both"/>
        <w:rPr>
          <w:lang w:val="et-EE"/>
        </w:rPr>
      </w:pPr>
      <w:r w:rsidRPr="00387A67">
        <w:rPr>
          <w:lang w:val="et-EE"/>
        </w:rPr>
        <w:t>Prognoosiperioodi lõpuks on rahvastiku soojus-vanuseline jaotus olulisel teisenenud (joonis 9). Suurenenud on eriti vanemaealiste osatähtsus. Seda nii baas-kui ka kasvustsenaariumi korral.</w:t>
      </w:r>
    </w:p>
    <w:p w14:paraId="0DAC8502" w14:textId="77777777" w:rsidR="00821111" w:rsidRPr="00387A67" w:rsidRDefault="00821111" w:rsidP="00821111">
      <w:pPr>
        <w:pStyle w:val="Pealdis"/>
        <w:rPr>
          <w:noProof/>
          <w:lang w:eastAsia="et-EE"/>
        </w:rPr>
      </w:pPr>
    </w:p>
    <w:p w14:paraId="2E774717" w14:textId="77777777" w:rsidR="00821111" w:rsidRPr="00387A67" w:rsidRDefault="008C4935" w:rsidP="00821111">
      <w:pPr>
        <w:pStyle w:val="Pealdis"/>
        <w:rPr>
          <w:noProof/>
          <w:lang w:eastAsia="et-EE"/>
        </w:rPr>
      </w:pPr>
      <w:r w:rsidRPr="00387A67">
        <w:rPr>
          <w:noProof/>
          <w:lang w:val="en-US"/>
        </w:rPr>
        <w:drawing>
          <wp:inline distT="0" distB="0" distL="0" distR="0" wp14:anchorId="2015C2F4" wp14:editId="7DE4C202">
            <wp:extent cx="5760720" cy="3302000"/>
            <wp:effectExtent l="0" t="0" r="11430" b="12700"/>
            <wp:docPr id="22" name="Chart 22">
              <a:extLst xmlns:a="http://schemas.openxmlformats.org/drawingml/2006/main">
                <a:ext uri="{FF2B5EF4-FFF2-40B4-BE49-F238E27FC236}">
                  <a16:creationId xmlns:a16="http://schemas.microsoft.com/office/drawing/2014/main" id="{00000000-0008-0000-0D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EEFB06"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9</w:t>
      </w:r>
      <w:r w:rsidRPr="00387A67">
        <w:rPr>
          <w:rFonts w:cs="Times New Roman"/>
          <w:color w:val="auto"/>
          <w:sz w:val="24"/>
          <w:szCs w:val="24"/>
        </w:rPr>
        <w:fldChar w:fldCharType="end"/>
      </w:r>
      <w:r w:rsidRPr="00387A67">
        <w:rPr>
          <w:rFonts w:cs="Times New Roman"/>
          <w:color w:val="auto"/>
          <w:sz w:val="24"/>
          <w:szCs w:val="24"/>
        </w:rPr>
        <w:t xml:space="preserve">. Rahvastiku soolis-vanuseline koosseis </w:t>
      </w:r>
      <w:r w:rsidR="008C4935" w:rsidRPr="00387A67">
        <w:rPr>
          <w:rFonts w:cs="Times New Roman"/>
          <w:color w:val="auto"/>
          <w:sz w:val="24"/>
          <w:szCs w:val="24"/>
        </w:rPr>
        <w:t>Kiviõli piirkonnas</w:t>
      </w:r>
      <w:r w:rsidRPr="00387A67">
        <w:rPr>
          <w:rFonts w:cs="Times New Roman"/>
          <w:color w:val="auto"/>
          <w:sz w:val="24"/>
          <w:szCs w:val="24"/>
        </w:rPr>
        <w:t xml:space="preserve"> aastal 2049 baas-stsenaariumi alusel</w:t>
      </w:r>
    </w:p>
    <w:p w14:paraId="5B20DB76" w14:textId="77777777" w:rsidR="00821111" w:rsidRPr="00387A67" w:rsidRDefault="008C4935" w:rsidP="00821111">
      <w:pPr>
        <w:jc w:val="both"/>
        <w:rPr>
          <w:lang w:val="et-EE"/>
        </w:rPr>
      </w:pPr>
      <w:r w:rsidRPr="00387A67">
        <w:rPr>
          <w:lang w:val="et-EE"/>
        </w:rPr>
        <w:t>Kiviõli piirkonna</w:t>
      </w:r>
      <w:r w:rsidR="00821111" w:rsidRPr="00387A67">
        <w:rPr>
          <w:lang w:val="et-EE"/>
        </w:rPr>
        <w:t xml:space="preserve"> rahvaarv kahaneb</w:t>
      </w:r>
      <w:r w:rsidR="000E4721" w:rsidRPr="00387A67">
        <w:rPr>
          <w:lang w:val="et-EE"/>
        </w:rPr>
        <w:t xml:space="preserve"> võrreldes enam kui 9000 elanikult lähteaastal</w:t>
      </w:r>
      <w:r w:rsidR="00821111" w:rsidRPr="00387A67">
        <w:rPr>
          <w:lang w:val="et-EE"/>
        </w:rPr>
        <w:t xml:space="preserve"> </w:t>
      </w:r>
      <w:r w:rsidR="000E4721" w:rsidRPr="00387A67">
        <w:rPr>
          <w:lang w:val="et-EE"/>
        </w:rPr>
        <w:t xml:space="preserve">prognoosiperioodi lõpuks </w:t>
      </w:r>
      <w:r w:rsidR="00821111" w:rsidRPr="00387A67">
        <w:rPr>
          <w:lang w:val="et-EE"/>
        </w:rPr>
        <w:t>tulenevalt lähteaasta vanusstruktuurist ja sündimuskäitumisest igal juhul</w:t>
      </w:r>
      <w:r w:rsidR="000E4721" w:rsidRPr="00387A67">
        <w:rPr>
          <w:lang w:val="et-EE"/>
        </w:rPr>
        <w:t xml:space="preserve"> ligikaudu 40%. Baas-stenaariumi vaates</w:t>
      </w:r>
      <w:r w:rsidR="00821111" w:rsidRPr="00387A67">
        <w:rPr>
          <w:lang w:val="et-EE"/>
        </w:rPr>
        <w:t xml:space="preserve"> </w:t>
      </w:r>
      <w:r w:rsidRPr="00387A67">
        <w:rPr>
          <w:lang w:val="et-EE"/>
        </w:rPr>
        <w:t>u 60</w:t>
      </w:r>
      <w:r w:rsidR="00821111" w:rsidRPr="00387A67">
        <w:rPr>
          <w:lang w:val="et-EE"/>
        </w:rPr>
        <w:t>00 elanikuni (joonis 10</w:t>
      </w:r>
      <w:r w:rsidR="000E4721" w:rsidRPr="00387A67">
        <w:rPr>
          <w:lang w:val="et-EE"/>
        </w:rPr>
        <w:t>) ning</w:t>
      </w:r>
      <w:r w:rsidR="00821111" w:rsidRPr="00387A67">
        <w:rPr>
          <w:lang w:val="et-EE"/>
        </w:rPr>
        <w:t xml:space="preserve"> </w:t>
      </w:r>
      <w:r w:rsidR="000E4721" w:rsidRPr="00387A67">
        <w:rPr>
          <w:lang w:val="et-EE"/>
        </w:rPr>
        <w:t>r</w:t>
      </w:r>
      <w:r w:rsidR="00821111" w:rsidRPr="00387A67">
        <w:rPr>
          <w:lang w:val="et-EE"/>
        </w:rPr>
        <w:t xml:space="preserve">ände-stsenaariumi realiseerudes </w:t>
      </w:r>
      <w:r w:rsidRPr="00387A67">
        <w:rPr>
          <w:lang w:val="et-EE"/>
        </w:rPr>
        <w:t>53</w:t>
      </w:r>
      <w:r w:rsidR="00821111" w:rsidRPr="00387A67">
        <w:rPr>
          <w:lang w:val="et-EE"/>
        </w:rPr>
        <w:t>00 elanikuni.</w:t>
      </w:r>
      <w:r w:rsidR="000E4721" w:rsidRPr="00387A67">
        <w:rPr>
          <w:lang w:val="et-EE"/>
        </w:rPr>
        <w:t xml:space="preserve"> Kesk-pikas tulevikus – aastaks 2025 9%-16% ning aastaks 2030 14%-23%.</w:t>
      </w:r>
    </w:p>
    <w:p w14:paraId="1690263F" w14:textId="77777777" w:rsidR="00821111" w:rsidRPr="00387A67" w:rsidRDefault="008C4935" w:rsidP="00821111">
      <w:pPr>
        <w:pStyle w:val="Pealdis"/>
        <w:rPr>
          <w:rFonts w:cs="Times New Roman"/>
          <w:color w:val="auto"/>
          <w:sz w:val="24"/>
          <w:szCs w:val="24"/>
        </w:rPr>
      </w:pPr>
      <w:r w:rsidRPr="00387A67">
        <w:rPr>
          <w:noProof/>
          <w:lang w:val="en-US"/>
        </w:rPr>
        <w:lastRenderedPageBreak/>
        <w:drawing>
          <wp:inline distT="0" distB="0" distL="0" distR="0" wp14:anchorId="4BF3CFD8" wp14:editId="63797AE4">
            <wp:extent cx="5482070" cy="2924257"/>
            <wp:effectExtent l="0" t="0" r="4445" b="9525"/>
            <wp:docPr id="23" name="Chart 23">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17F356"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10</w:t>
      </w:r>
      <w:r w:rsidRPr="00387A67">
        <w:rPr>
          <w:rFonts w:cs="Times New Roman"/>
          <w:color w:val="auto"/>
          <w:sz w:val="24"/>
          <w:szCs w:val="24"/>
        </w:rPr>
        <w:fldChar w:fldCharType="end"/>
      </w:r>
      <w:r w:rsidRPr="00387A67">
        <w:rPr>
          <w:rFonts w:cs="Times New Roman"/>
          <w:color w:val="auto"/>
          <w:sz w:val="24"/>
          <w:szCs w:val="24"/>
        </w:rPr>
        <w:t>.</w:t>
      </w:r>
      <w:r w:rsidR="008C4935" w:rsidRPr="00387A67">
        <w:rPr>
          <w:rFonts w:cs="Times New Roman"/>
          <w:color w:val="auto"/>
          <w:sz w:val="24"/>
          <w:szCs w:val="24"/>
        </w:rPr>
        <w:t xml:space="preserve"> Rahvaarvu prognoos aastani 2049</w:t>
      </w:r>
    </w:p>
    <w:p w14:paraId="38DF09C7" w14:textId="77777777" w:rsidR="00821111" w:rsidRPr="00387A67" w:rsidRDefault="00821111" w:rsidP="00821111">
      <w:pPr>
        <w:jc w:val="both"/>
        <w:rPr>
          <w:lang w:val="et-EE"/>
        </w:rPr>
      </w:pPr>
      <w:r w:rsidRPr="00387A67">
        <w:rPr>
          <w:lang w:val="et-EE"/>
        </w:rPr>
        <w:t xml:space="preserve">Kõige suurem on rahvaarvu muutuste mõju haridusteenuse pakkumisele. Lasteaiaealiste laste arv väheneb järgnevatel aastatel olulisel määral (joonis 11). </w:t>
      </w:r>
      <w:r w:rsidR="000E4721" w:rsidRPr="00387A67">
        <w:rPr>
          <w:lang w:val="et-EE"/>
        </w:rPr>
        <w:t>Eeldades, et</w:t>
      </w:r>
      <w:r w:rsidRPr="00387A67">
        <w:rPr>
          <w:lang w:val="et-EE"/>
        </w:rPr>
        <w:t xml:space="preserve"> lasteaiaõppes </w:t>
      </w:r>
      <w:r w:rsidR="000E4721" w:rsidRPr="00387A67">
        <w:rPr>
          <w:lang w:val="et-EE"/>
        </w:rPr>
        <w:t>osaleb 85</w:t>
      </w:r>
      <w:r w:rsidRPr="00387A67">
        <w:rPr>
          <w:lang w:val="et-EE"/>
        </w:rPr>
        <w:t xml:space="preserve">% </w:t>
      </w:r>
      <w:r w:rsidR="000E4721" w:rsidRPr="00387A67">
        <w:rPr>
          <w:lang w:val="et-EE"/>
        </w:rPr>
        <w:t>piirkonna</w:t>
      </w:r>
      <w:r w:rsidRPr="00387A67">
        <w:rPr>
          <w:lang w:val="et-EE"/>
        </w:rPr>
        <w:t xml:space="preserve"> laste</w:t>
      </w:r>
      <w:r w:rsidR="000E4721" w:rsidRPr="00387A67">
        <w:rPr>
          <w:lang w:val="et-EE"/>
        </w:rPr>
        <w:t>st vanuses 1,5 kuni 6 eluaastat ning a</w:t>
      </w:r>
      <w:r w:rsidRPr="00387A67">
        <w:rPr>
          <w:lang w:val="et-EE"/>
        </w:rPr>
        <w:t xml:space="preserve">rvestades sama proportsiooni rände-stsenaariumi laste arvule, väheneb aastaks 2030 teenust vajavate laste arv </w:t>
      </w:r>
      <w:r w:rsidR="000E4721" w:rsidRPr="00387A67">
        <w:rPr>
          <w:lang w:val="et-EE"/>
        </w:rPr>
        <w:t>u 30</w:t>
      </w:r>
      <w:r w:rsidRPr="00387A67">
        <w:rPr>
          <w:lang w:val="et-EE"/>
        </w:rPr>
        <w:t>%.</w:t>
      </w:r>
    </w:p>
    <w:p w14:paraId="5F86E178" w14:textId="77777777" w:rsidR="00821111" w:rsidRPr="00387A67" w:rsidRDefault="00DF06C3" w:rsidP="00821111">
      <w:pPr>
        <w:jc w:val="both"/>
        <w:rPr>
          <w:lang w:val="et-EE"/>
        </w:rPr>
      </w:pPr>
      <w:r w:rsidRPr="00387A67">
        <w:rPr>
          <w:noProof/>
        </w:rPr>
        <w:drawing>
          <wp:inline distT="0" distB="0" distL="0" distR="0" wp14:anchorId="466C6C79" wp14:editId="488A2A29">
            <wp:extent cx="5760720" cy="2962275"/>
            <wp:effectExtent l="0" t="0" r="0" b="0"/>
            <wp:docPr id="28" name="Chart 28">
              <a:extLst xmlns:a="http://schemas.openxmlformats.org/drawingml/2006/main">
                <a:ext uri="{FF2B5EF4-FFF2-40B4-BE49-F238E27FC236}">
                  <a16:creationId xmlns:a16="http://schemas.microsoft.com/office/drawing/2014/main" id="{00000000-0008-0000-0F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84B20D"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11</w:t>
      </w:r>
      <w:r w:rsidRPr="00387A67">
        <w:rPr>
          <w:rFonts w:cs="Times New Roman"/>
          <w:color w:val="auto"/>
          <w:sz w:val="24"/>
          <w:szCs w:val="24"/>
        </w:rPr>
        <w:fldChar w:fldCharType="end"/>
      </w:r>
      <w:r w:rsidRPr="00387A67">
        <w:rPr>
          <w:rFonts w:cs="Times New Roman"/>
          <w:color w:val="auto"/>
          <w:sz w:val="24"/>
          <w:szCs w:val="24"/>
        </w:rPr>
        <w:t>. Lasteaiaealiste laste arvu prognoos aastani 2048</w:t>
      </w:r>
    </w:p>
    <w:p w14:paraId="01AF876D" w14:textId="77777777" w:rsidR="00821111" w:rsidRPr="00387A67" w:rsidRDefault="00821111" w:rsidP="00821111">
      <w:pPr>
        <w:jc w:val="both"/>
        <w:rPr>
          <w:lang w:val="et-EE"/>
        </w:rPr>
      </w:pPr>
    </w:p>
    <w:p w14:paraId="45EB06E3" w14:textId="77777777" w:rsidR="00821111" w:rsidRPr="00387A67" w:rsidRDefault="00821111" w:rsidP="00821111">
      <w:pPr>
        <w:jc w:val="both"/>
        <w:rPr>
          <w:lang w:val="et-EE"/>
        </w:rPr>
      </w:pPr>
      <w:r w:rsidRPr="00387A67">
        <w:rPr>
          <w:lang w:val="et-EE"/>
        </w:rPr>
        <w:t xml:space="preserve">Põhihariduse omandamise eas laste (7-15 eluaastat) arv </w:t>
      </w:r>
      <w:r w:rsidR="000E4721" w:rsidRPr="00387A67">
        <w:rPr>
          <w:lang w:val="et-EE"/>
        </w:rPr>
        <w:t>piirkonnas</w:t>
      </w:r>
      <w:r w:rsidRPr="00387A67">
        <w:rPr>
          <w:lang w:val="et-EE"/>
        </w:rPr>
        <w:t xml:space="preserve"> püsib järgneval </w:t>
      </w:r>
      <w:r w:rsidR="000E4721" w:rsidRPr="00387A67">
        <w:rPr>
          <w:lang w:val="et-EE"/>
        </w:rPr>
        <w:t>kolmel</w:t>
      </w:r>
      <w:r w:rsidRPr="00387A67">
        <w:rPr>
          <w:lang w:val="et-EE"/>
        </w:rPr>
        <w:t xml:space="preserve"> aastal </w:t>
      </w:r>
      <w:r w:rsidR="000E4721" w:rsidRPr="00387A67">
        <w:rPr>
          <w:lang w:val="et-EE"/>
        </w:rPr>
        <w:t xml:space="preserve">veel elamvähem </w:t>
      </w:r>
      <w:r w:rsidRPr="00387A67">
        <w:rPr>
          <w:lang w:val="et-EE"/>
        </w:rPr>
        <w:t>stabiil</w:t>
      </w:r>
      <w:r w:rsidR="000E4721" w:rsidRPr="00387A67">
        <w:rPr>
          <w:lang w:val="et-EE"/>
        </w:rPr>
        <w:t>ne, misjärel langeb kiires tempos aastaks 2030 u 45</w:t>
      </w:r>
      <w:r w:rsidRPr="00387A67">
        <w:rPr>
          <w:lang w:val="et-EE"/>
        </w:rPr>
        <w:t>% (joonis 12).</w:t>
      </w:r>
    </w:p>
    <w:p w14:paraId="64740556" w14:textId="77777777" w:rsidR="00821111" w:rsidRPr="00387A67" w:rsidRDefault="00821111" w:rsidP="00821111">
      <w:pPr>
        <w:jc w:val="both"/>
        <w:rPr>
          <w:lang w:val="et-EE"/>
        </w:rPr>
      </w:pPr>
    </w:p>
    <w:p w14:paraId="51FDA10A" w14:textId="77777777" w:rsidR="00821111" w:rsidRPr="00387A67" w:rsidRDefault="000E4721" w:rsidP="00821111">
      <w:pPr>
        <w:rPr>
          <w:lang w:val="et-EE"/>
        </w:rPr>
      </w:pPr>
      <w:r w:rsidRPr="00387A67">
        <w:rPr>
          <w:noProof/>
        </w:rPr>
        <w:lastRenderedPageBreak/>
        <w:drawing>
          <wp:inline distT="0" distB="0" distL="0" distR="0" wp14:anchorId="77803651" wp14:editId="0CB0AFF3">
            <wp:extent cx="5760720" cy="2936875"/>
            <wp:effectExtent l="0" t="0" r="0" b="0"/>
            <wp:docPr id="26" name="Chart 26">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17CC96"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12</w:t>
      </w:r>
      <w:r w:rsidRPr="00387A67">
        <w:rPr>
          <w:rFonts w:cs="Times New Roman"/>
          <w:color w:val="auto"/>
          <w:sz w:val="24"/>
          <w:szCs w:val="24"/>
        </w:rPr>
        <w:fldChar w:fldCharType="end"/>
      </w:r>
      <w:r w:rsidRPr="00387A67">
        <w:rPr>
          <w:rFonts w:cs="Times New Roman"/>
          <w:color w:val="auto"/>
          <w:sz w:val="24"/>
          <w:szCs w:val="24"/>
        </w:rPr>
        <w:t>. Põhikooliealiste laste arvu prognoos aastani 2049</w:t>
      </w:r>
    </w:p>
    <w:p w14:paraId="4E1042B3" w14:textId="77777777" w:rsidR="00821111" w:rsidRPr="00387A67" w:rsidRDefault="00821111" w:rsidP="00821111">
      <w:pPr>
        <w:jc w:val="both"/>
        <w:rPr>
          <w:lang w:val="et-EE"/>
        </w:rPr>
      </w:pPr>
      <w:r w:rsidRPr="00387A67">
        <w:rPr>
          <w:lang w:val="et-EE"/>
        </w:rPr>
        <w:t>Nn. gümnaasiumiealiste arv (lapsed vanuses 16-18) püsib</w:t>
      </w:r>
      <w:r w:rsidR="00DF06C3" w:rsidRPr="00387A67">
        <w:rPr>
          <w:lang w:val="et-EE"/>
        </w:rPr>
        <w:t xml:space="preserve"> lähiaastatel st</w:t>
      </w:r>
      <w:r w:rsidR="006E0EB3">
        <w:rPr>
          <w:lang w:val="et-EE"/>
        </w:rPr>
        <w:t>abiilsena, kuid väheneb aasta</w:t>
      </w:r>
      <w:r w:rsidR="00DF06C3" w:rsidRPr="00387A67">
        <w:rPr>
          <w:lang w:val="et-EE"/>
        </w:rPr>
        <w:t>ks</w:t>
      </w:r>
      <w:r w:rsidRPr="00387A67">
        <w:rPr>
          <w:lang w:val="et-EE"/>
        </w:rPr>
        <w:t xml:space="preserve"> 2030</w:t>
      </w:r>
      <w:r w:rsidR="00DF06C3" w:rsidRPr="00387A67">
        <w:rPr>
          <w:lang w:val="et-EE"/>
        </w:rPr>
        <w:t xml:space="preserve"> enam kui 25%</w:t>
      </w:r>
      <w:r w:rsidRPr="00387A67">
        <w:rPr>
          <w:lang w:val="et-EE"/>
        </w:rPr>
        <w:t>. Gümnaasiumiõppes osal</w:t>
      </w:r>
      <w:r w:rsidR="00DF06C3" w:rsidRPr="00387A67">
        <w:rPr>
          <w:lang w:val="et-EE"/>
        </w:rPr>
        <w:t>use eeldus on 50</w:t>
      </w:r>
      <w:r w:rsidRPr="00387A67">
        <w:rPr>
          <w:lang w:val="et-EE"/>
        </w:rPr>
        <w:t xml:space="preserve">% vanuserühmast, sest suur osa vanuserühmast asub omandama hoopis ametiharidust või eelistab õppimist lähedalasuvates suurlinnade koolides. </w:t>
      </w:r>
    </w:p>
    <w:p w14:paraId="60DBAD4F" w14:textId="77777777" w:rsidR="00821111" w:rsidRPr="00387A67" w:rsidRDefault="00821111" w:rsidP="00821111">
      <w:pPr>
        <w:jc w:val="both"/>
        <w:rPr>
          <w:lang w:val="et-EE"/>
        </w:rPr>
      </w:pPr>
    </w:p>
    <w:p w14:paraId="66949932" w14:textId="77777777" w:rsidR="00821111" w:rsidRPr="00387A67" w:rsidRDefault="00DF06C3" w:rsidP="00821111">
      <w:pPr>
        <w:rPr>
          <w:lang w:val="et-EE"/>
        </w:rPr>
      </w:pPr>
      <w:r w:rsidRPr="00387A67">
        <w:rPr>
          <w:noProof/>
        </w:rPr>
        <w:drawing>
          <wp:inline distT="0" distB="0" distL="0" distR="0" wp14:anchorId="715AADC1" wp14:editId="3EC8B2F5">
            <wp:extent cx="5760720" cy="2932430"/>
            <wp:effectExtent l="0" t="0" r="0" b="1270"/>
            <wp:docPr id="29" name="Chart 29">
              <a:extLst xmlns:a="http://schemas.openxmlformats.org/drawingml/2006/main">
                <a:ext uri="{FF2B5EF4-FFF2-40B4-BE49-F238E27FC236}">
                  <a16:creationId xmlns:a16="http://schemas.microsoft.com/office/drawing/2014/main" id="{00000000-0008-0000-0F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C609C6" w14:textId="77777777" w:rsidR="00821111" w:rsidRPr="00387A67" w:rsidRDefault="00821111" w:rsidP="00821111">
      <w:pPr>
        <w:pStyle w:val="Pealdis"/>
        <w:rPr>
          <w:rFonts w:cs="Times New Roman"/>
          <w:color w:val="auto"/>
          <w:sz w:val="24"/>
          <w:szCs w:val="24"/>
        </w:rPr>
      </w:pPr>
      <w:r w:rsidRPr="00387A67">
        <w:rPr>
          <w:rFonts w:cs="Times New Roman"/>
          <w:color w:val="auto"/>
          <w:sz w:val="24"/>
          <w:szCs w:val="24"/>
        </w:rPr>
        <w:t xml:space="preserve">Joonis </w:t>
      </w:r>
      <w:r w:rsidRPr="00387A67">
        <w:rPr>
          <w:rFonts w:cs="Times New Roman"/>
          <w:color w:val="auto"/>
          <w:sz w:val="24"/>
          <w:szCs w:val="24"/>
        </w:rPr>
        <w:fldChar w:fldCharType="begin"/>
      </w:r>
      <w:r w:rsidRPr="00387A67">
        <w:rPr>
          <w:rFonts w:cs="Times New Roman"/>
          <w:color w:val="auto"/>
          <w:sz w:val="24"/>
          <w:szCs w:val="24"/>
        </w:rPr>
        <w:instrText xml:space="preserve"> SEQ Joonis \* ARABIC </w:instrText>
      </w:r>
      <w:r w:rsidRPr="00387A67">
        <w:rPr>
          <w:rFonts w:cs="Times New Roman"/>
          <w:color w:val="auto"/>
          <w:sz w:val="24"/>
          <w:szCs w:val="24"/>
        </w:rPr>
        <w:fldChar w:fldCharType="separate"/>
      </w:r>
      <w:r w:rsidRPr="00387A67">
        <w:rPr>
          <w:rFonts w:cs="Times New Roman"/>
          <w:noProof/>
          <w:color w:val="auto"/>
          <w:sz w:val="24"/>
          <w:szCs w:val="24"/>
        </w:rPr>
        <w:t>13</w:t>
      </w:r>
      <w:r w:rsidRPr="00387A67">
        <w:rPr>
          <w:rFonts w:cs="Times New Roman"/>
          <w:color w:val="auto"/>
          <w:sz w:val="24"/>
          <w:szCs w:val="24"/>
        </w:rPr>
        <w:fldChar w:fldCharType="end"/>
      </w:r>
      <w:r w:rsidRPr="00387A67">
        <w:rPr>
          <w:rFonts w:cs="Times New Roman"/>
          <w:color w:val="auto"/>
          <w:sz w:val="24"/>
          <w:szCs w:val="24"/>
        </w:rPr>
        <w:t>. Gümnaasiumiealiste arvu prognoos aastani 2049</w:t>
      </w:r>
    </w:p>
    <w:p w14:paraId="6171DF5F" w14:textId="77777777" w:rsidR="00821111" w:rsidRPr="00387A67" w:rsidRDefault="00821111" w:rsidP="00821111">
      <w:pPr>
        <w:jc w:val="both"/>
        <w:rPr>
          <w:lang w:val="et-EE"/>
        </w:rPr>
      </w:pPr>
      <w:r w:rsidRPr="00387A67">
        <w:rPr>
          <w:lang w:val="et-EE"/>
        </w:rPr>
        <w:t xml:space="preserve">Tööealiste (vanuserühm 19-64) arvukus kahaneb mõlema rahvastikuarengu stsenaariumi korral ja nende osakaal kogurahvastikus langeb. </w:t>
      </w:r>
      <w:r w:rsidR="00DF06C3" w:rsidRPr="00387A67">
        <w:rPr>
          <w:lang w:val="et-EE"/>
        </w:rPr>
        <w:t>T</w:t>
      </w:r>
      <w:r w:rsidRPr="00387A67">
        <w:rPr>
          <w:lang w:val="et-EE"/>
        </w:rPr>
        <w:t xml:space="preserve">ulenevalt rahvaarvu kahanemisest suureneb oluliselt </w:t>
      </w:r>
      <w:r w:rsidR="00DF06C3" w:rsidRPr="00387A67">
        <w:rPr>
          <w:lang w:val="et-EE"/>
        </w:rPr>
        <w:t>vanemat</w:t>
      </w:r>
      <w:r w:rsidR="00520C0C" w:rsidRPr="00387A67">
        <w:rPr>
          <w:lang w:val="et-EE"/>
        </w:rPr>
        <w:t>e vanuserühmade (65+) osakaal kogurahvastikus.</w:t>
      </w:r>
      <w:r w:rsidRPr="00387A67">
        <w:rPr>
          <w:lang w:val="et-EE"/>
        </w:rPr>
        <w:t xml:space="preserve"> </w:t>
      </w:r>
    </w:p>
    <w:p w14:paraId="689335D2" w14:textId="77777777" w:rsidR="00145D3F" w:rsidRPr="00387A67" w:rsidRDefault="00145D3F" w:rsidP="00821111">
      <w:pPr>
        <w:jc w:val="both"/>
        <w:rPr>
          <w:lang w:val="et-EE"/>
        </w:rPr>
      </w:pPr>
    </w:p>
    <w:p w14:paraId="7284B238" w14:textId="77777777" w:rsidR="00821111" w:rsidRPr="00387A67" w:rsidRDefault="00821111" w:rsidP="00821111">
      <w:pPr>
        <w:rPr>
          <w:b/>
          <w:lang w:val="et-EE"/>
        </w:rPr>
      </w:pPr>
    </w:p>
    <w:p w14:paraId="67B614FD" w14:textId="77777777" w:rsidR="00145D3F" w:rsidRPr="00387A67" w:rsidRDefault="00145D3F" w:rsidP="00821111">
      <w:pPr>
        <w:rPr>
          <w:b/>
          <w:lang w:val="et-EE"/>
        </w:rPr>
      </w:pPr>
    </w:p>
    <w:p w14:paraId="4F50177C" w14:textId="77777777" w:rsidR="00145D3F" w:rsidRPr="00387A67" w:rsidRDefault="00145D3F" w:rsidP="00821111">
      <w:pPr>
        <w:rPr>
          <w:b/>
          <w:lang w:val="et-EE"/>
        </w:rPr>
      </w:pPr>
    </w:p>
    <w:p w14:paraId="4EA1C743" w14:textId="77777777" w:rsidR="00145D3F" w:rsidRPr="00387A67" w:rsidRDefault="00145D3F" w:rsidP="00821111">
      <w:pPr>
        <w:rPr>
          <w:b/>
          <w:lang w:val="et-EE"/>
        </w:rPr>
      </w:pPr>
    </w:p>
    <w:p w14:paraId="2F663FAA" w14:textId="77777777" w:rsidR="00821111" w:rsidRPr="00387A67" w:rsidRDefault="00821111" w:rsidP="00821111">
      <w:pPr>
        <w:rPr>
          <w:b/>
          <w:lang w:val="et-EE"/>
        </w:rPr>
      </w:pPr>
      <w:r w:rsidRPr="00387A67">
        <w:rPr>
          <w:b/>
          <w:lang w:val="et-EE"/>
        </w:rPr>
        <w:lastRenderedPageBreak/>
        <w:t>Prognoosi kokkuvõte</w:t>
      </w:r>
    </w:p>
    <w:p w14:paraId="00A52CEF" w14:textId="77777777" w:rsidR="00821111" w:rsidRPr="00387A67" w:rsidRDefault="00821111" w:rsidP="00821111">
      <w:pPr>
        <w:jc w:val="both"/>
        <w:rPr>
          <w:lang w:val="et-EE"/>
        </w:rPr>
      </w:pPr>
    </w:p>
    <w:p w14:paraId="5BB98DEF" w14:textId="1BB0A547" w:rsidR="00821111" w:rsidRPr="00387A67" w:rsidRDefault="00821111" w:rsidP="00821111">
      <w:pPr>
        <w:jc w:val="both"/>
        <w:rPr>
          <w:lang w:val="et-EE"/>
        </w:rPr>
      </w:pPr>
      <w:r w:rsidRPr="00387A67">
        <w:rPr>
          <w:lang w:val="et-EE"/>
        </w:rPr>
        <w:t xml:space="preserve">Viimasel viiel aastal on rahvaarv </w:t>
      </w:r>
      <w:r w:rsidR="00145D3F" w:rsidRPr="00387A67">
        <w:rPr>
          <w:lang w:val="et-EE"/>
        </w:rPr>
        <w:t>Kiviõli piirkonnas</w:t>
      </w:r>
      <w:r w:rsidRPr="00387A67">
        <w:rPr>
          <w:lang w:val="et-EE"/>
        </w:rPr>
        <w:t xml:space="preserve"> vähenenud </w:t>
      </w:r>
      <w:r w:rsidR="00B87298">
        <w:rPr>
          <w:lang w:val="et-EE"/>
        </w:rPr>
        <w:t>enam kui 10</w:t>
      </w:r>
      <w:r w:rsidR="00145D3F" w:rsidRPr="00387A67">
        <w:rPr>
          <w:lang w:val="et-EE"/>
        </w:rPr>
        <w:t xml:space="preserve">% võrra. Aasta </w:t>
      </w:r>
      <w:r w:rsidRPr="00387A67">
        <w:rPr>
          <w:lang w:val="et-EE"/>
        </w:rPr>
        <w:t xml:space="preserve">2017. aasta alguses </w:t>
      </w:r>
      <w:r w:rsidR="00145D3F" w:rsidRPr="00387A67">
        <w:rPr>
          <w:lang w:val="et-EE"/>
        </w:rPr>
        <w:t>elas piirkonnas 9116 inimest</w:t>
      </w:r>
      <w:r w:rsidRPr="00387A67">
        <w:rPr>
          <w:lang w:val="et-EE"/>
        </w:rPr>
        <w:t>. Kahanemine on toimunud nii väljarände (aastakeskmiselt on lahkunu</w:t>
      </w:r>
      <w:r w:rsidR="00145D3F" w:rsidRPr="00387A67">
        <w:rPr>
          <w:lang w:val="et-EE"/>
        </w:rPr>
        <w:t>d</w:t>
      </w:r>
      <w:r w:rsidRPr="00387A67">
        <w:rPr>
          <w:lang w:val="et-EE"/>
        </w:rPr>
        <w:t xml:space="preserve"> </w:t>
      </w:r>
      <w:r w:rsidR="00145D3F" w:rsidRPr="00387A67">
        <w:rPr>
          <w:lang w:val="et-EE"/>
        </w:rPr>
        <w:t>149</w:t>
      </w:r>
      <w:r w:rsidRPr="00387A67">
        <w:rPr>
          <w:lang w:val="et-EE"/>
        </w:rPr>
        <w:t xml:space="preserve"> inimest) kui ka negatiivse loomuliku iibe (aastakeskmiselt on surnud </w:t>
      </w:r>
      <w:r w:rsidR="00145D3F" w:rsidRPr="00387A67">
        <w:rPr>
          <w:lang w:val="et-EE"/>
        </w:rPr>
        <w:t>112</w:t>
      </w:r>
      <w:r w:rsidRPr="00387A67">
        <w:rPr>
          <w:lang w:val="et-EE"/>
        </w:rPr>
        <w:t xml:space="preserve"> inimest enam kui sündinud) tagajärjel. Lähtuvalt prognoosistsenaariumitest, jätkub rahvaarvu kahanemine ka järgnevatel aastatel. </w:t>
      </w:r>
    </w:p>
    <w:p w14:paraId="7887041B" w14:textId="77777777" w:rsidR="00821111" w:rsidRPr="00387A67" w:rsidRDefault="00821111" w:rsidP="00821111">
      <w:pPr>
        <w:jc w:val="both"/>
        <w:rPr>
          <w:lang w:val="et-EE"/>
        </w:rPr>
      </w:pPr>
    </w:p>
    <w:p w14:paraId="6EB575E5" w14:textId="77777777" w:rsidR="00821111" w:rsidRPr="00387A67" w:rsidRDefault="00145D3F" w:rsidP="00821111">
      <w:pPr>
        <w:jc w:val="both"/>
        <w:rPr>
          <w:lang w:val="et-EE"/>
        </w:rPr>
      </w:pPr>
      <w:r w:rsidRPr="00387A67">
        <w:rPr>
          <w:lang w:val="et-EE"/>
        </w:rPr>
        <w:t>A</w:t>
      </w:r>
      <w:r w:rsidR="00821111" w:rsidRPr="00387A67">
        <w:rPr>
          <w:lang w:val="et-EE"/>
        </w:rPr>
        <w:t>astani 203</w:t>
      </w:r>
      <w:r w:rsidRPr="00387A67">
        <w:rPr>
          <w:lang w:val="et-EE"/>
        </w:rPr>
        <w:t>0</w:t>
      </w:r>
      <w:r w:rsidR="00821111" w:rsidRPr="00387A67">
        <w:rPr>
          <w:lang w:val="et-EE"/>
        </w:rPr>
        <w:t xml:space="preserve"> saab prognoosistsenaariumite alusel teha järgnevad põhijäreldused:</w:t>
      </w:r>
    </w:p>
    <w:p w14:paraId="4278B639" w14:textId="306DBDA8" w:rsidR="00821111" w:rsidRPr="00387A67" w:rsidRDefault="00B87298" w:rsidP="00821111">
      <w:pPr>
        <w:pStyle w:val="Loendilik"/>
        <w:numPr>
          <w:ilvl w:val="0"/>
          <w:numId w:val="3"/>
        </w:numPr>
        <w:rPr>
          <w:rFonts w:cs="Times New Roman"/>
        </w:rPr>
      </w:pPr>
      <w:r>
        <w:rPr>
          <w:rFonts w:cs="Times New Roman"/>
        </w:rPr>
        <w:t>p</w:t>
      </w:r>
      <w:r w:rsidR="00145D3F" w:rsidRPr="00387A67">
        <w:rPr>
          <w:rFonts w:cs="Times New Roman"/>
        </w:rPr>
        <w:t>iirkonna</w:t>
      </w:r>
      <w:r w:rsidR="00DD7078" w:rsidRPr="00387A67">
        <w:rPr>
          <w:rFonts w:cs="Times New Roman"/>
        </w:rPr>
        <w:t xml:space="preserve"> rahvastik</w:t>
      </w:r>
      <w:r w:rsidR="00821111" w:rsidRPr="00387A67">
        <w:rPr>
          <w:rFonts w:cs="Times New Roman"/>
        </w:rPr>
        <w:t xml:space="preserve"> ei ole sisemiselt taastevõimeline;</w:t>
      </w:r>
    </w:p>
    <w:p w14:paraId="2BF36F11" w14:textId="28084D0B" w:rsidR="00821111" w:rsidRPr="00387A67" w:rsidRDefault="00B87298" w:rsidP="00821111">
      <w:pPr>
        <w:pStyle w:val="Loendilik"/>
        <w:numPr>
          <w:ilvl w:val="0"/>
          <w:numId w:val="3"/>
        </w:numPr>
        <w:rPr>
          <w:rFonts w:cs="Times New Roman"/>
        </w:rPr>
      </w:pPr>
      <w:r>
        <w:rPr>
          <w:rFonts w:cs="Times New Roman"/>
        </w:rPr>
        <w:t>v</w:t>
      </w:r>
      <w:r w:rsidR="00821111" w:rsidRPr="00387A67">
        <w:rPr>
          <w:rFonts w:cs="Times New Roman"/>
        </w:rPr>
        <w:t xml:space="preserve">iimaste aastate sündimus- ja suremuskäitumise jätkudes ning rände puududes kahaneb </w:t>
      </w:r>
      <w:r w:rsidR="00145D3F" w:rsidRPr="00387A67">
        <w:rPr>
          <w:rFonts w:cs="Times New Roman"/>
        </w:rPr>
        <w:t>piirkonna</w:t>
      </w:r>
      <w:r w:rsidR="00821111" w:rsidRPr="00387A67">
        <w:rPr>
          <w:rFonts w:cs="Times New Roman"/>
        </w:rPr>
        <w:t xml:space="preserve"> rahvaarv 2017. aastaga võrreldes u </w:t>
      </w:r>
      <w:r w:rsidR="00145D3F" w:rsidRPr="00387A67">
        <w:rPr>
          <w:rFonts w:cs="Times New Roman"/>
        </w:rPr>
        <w:t>14</w:t>
      </w:r>
      <w:r w:rsidR="00821111" w:rsidRPr="00387A67">
        <w:rPr>
          <w:rFonts w:cs="Times New Roman"/>
        </w:rPr>
        <w:t xml:space="preserve"> protsenti ligikaudu </w:t>
      </w:r>
      <w:r w:rsidR="00145D3F" w:rsidRPr="00387A67">
        <w:rPr>
          <w:rFonts w:cs="Times New Roman"/>
        </w:rPr>
        <w:t>7</w:t>
      </w:r>
      <w:r w:rsidR="00821111" w:rsidRPr="00387A67">
        <w:rPr>
          <w:rFonts w:cs="Times New Roman"/>
        </w:rPr>
        <w:t xml:space="preserve"> </w:t>
      </w:r>
      <w:r w:rsidR="00145D3F" w:rsidRPr="00387A67">
        <w:rPr>
          <w:rFonts w:cs="Times New Roman"/>
        </w:rPr>
        <w:t>800</w:t>
      </w:r>
      <w:r w:rsidR="00821111" w:rsidRPr="00387A67">
        <w:rPr>
          <w:rFonts w:cs="Times New Roman"/>
        </w:rPr>
        <w:t xml:space="preserve"> inimeseni;</w:t>
      </w:r>
    </w:p>
    <w:p w14:paraId="34F8A828" w14:textId="1510A4CD" w:rsidR="00821111" w:rsidRPr="00387A67" w:rsidRDefault="00B87298" w:rsidP="00821111">
      <w:pPr>
        <w:pStyle w:val="Loendilik"/>
        <w:numPr>
          <w:ilvl w:val="0"/>
          <w:numId w:val="3"/>
        </w:numPr>
        <w:rPr>
          <w:rFonts w:cs="Times New Roman"/>
        </w:rPr>
      </w:pPr>
      <w:r>
        <w:rPr>
          <w:rFonts w:cs="Times New Roman"/>
        </w:rPr>
        <w:t>v</w:t>
      </w:r>
      <w:r w:rsidR="00821111" w:rsidRPr="00387A67">
        <w:rPr>
          <w:rFonts w:cs="Times New Roman"/>
        </w:rPr>
        <w:t xml:space="preserve">äljarände ja viimaste aastate ja sündimuskäitumise jätkudes ning oodatava eluea jätkuval tõusul kahaneb rahvaarv 23 % u </w:t>
      </w:r>
      <w:r w:rsidR="00145D3F" w:rsidRPr="00387A67">
        <w:rPr>
          <w:rFonts w:cs="Times New Roman"/>
        </w:rPr>
        <w:t>7000</w:t>
      </w:r>
      <w:r w:rsidR="00821111" w:rsidRPr="00387A67">
        <w:rPr>
          <w:rFonts w:cs="Times New Roman"/>
        </w:rPr>
        <w:t xml:space="preserve"> elanikuni;</w:t>
      </w:r>
    </w:p>
    <w:p w14:paraId="4257DD39" w14:textId="1D1486E6" w:rsidR="00821111" w:rsidRPr="00387A67" w:rsidRDefault="00B87298" w:rsidP="00821111">
      <w:pPr>
        <w:pStyle w:val="Loendilik"/>
        <w:numPr>
          <w:ilvl w:val="0"/>
          <w:numId w:val="4"/>
        </w:numPr>
        <w:rPr>
          <w:rFonts w:cs="Times New Roman"/>
        </w:rPr>
      </w:pPr>
      <w:r>
        <w:rPr>
          <w:rFonts w:cs="Times New Roman"/>
        </w:rPr>
        <w:t>l</w:t>
      </w:r>
      <w:r w:rsidR="00821111" w:rsidRPr="00387A67">
        <w:rPr>
          <w:rFonts w:cs="Times New Roman"/>
        </w:rPr>
        <w:t>asteaiaeal</w:t>
      </w:r>
      <w:r w:rsidR="00145D3F" w:rsidRPr="00387A67">
        <w:rPr>
          <w:rFonts w:cs="Times New Roman"/>
        </w:rPr>
        <w:t>iste laste arv väheneb kokku u 30</w:t>
      </w:r>
      <w:r w:rsidR="00DD7078" w:rsidRPr="00387A67">
        <w:rPr>
          <w:rFonts w:cs="Times New Roman"/>
        </w:rPr>
        <w:t>%</w:t>
      </w:r>
      <w:r w:rsidR="00821111" w:rsidRPr="00387A67">
        <w:rPr>
          <w:rFonts w:cs="Times New Roman"/>
        </w:rPr>
        <w:t>;</w:t>
      </w:r>
    </w:p>
    <w:p w14:paraId="3FCEB39E" w14:textId="71A9590F" w:rsidR="00821111" w:rsidRPr="00387A67" w:rsidRDefault="00B87298" w:rsidP="00821111">
      <w:pPr>
        <w:pStyle w:val="Loendilik"/>
        <w:numPr>
          <w:ilvl w:val="0"/>
          <w:numId w:val="4"/>
        </w:numPr>
        <w:rPr>
          <w:rFonts w:cs="Times New Roman"/>
        </w:rPr>
      </w:pPr>
      <w:r>
        <w:rPr>
          <w:rFonts w:cs="Times New Roman"/>
        </w:rPr>
        <w:t>p</w:t>
      </w:r>
      <w:r w:rsidR="00145D3F" w:rsidRPr="00387A67">
        <w:rPr>
          <w:rFonts w:cs="Times New Roman"/>
        </w:rPr>
        <w:t>õhikooli ealiste arvukus</w:t>
      </w:r>
      <w:r w:rsidR="00821111" w:rsidRPr="00387A67">
        <w:rPr>
          <w:rFonts w:cs="Times New Roman"/>
        </w:rPr>
        <w:t xml:space="preserve"> </w:t>
      </w:r>
      <w:r w:rsidR="00145D3F" w:rsidRPr="00387A67">
        <w:rPr>
          <w:rFonts w:cs="Times New Roman"/>
        </w:rPr>
        <w:t>väheneb enam kui 40% ja gümnaasiumi ealiste arvukus ligi 30%;</w:t>
      </w:r>
    </w:p>
    <w:p w14:paraId="77CD7B0E" w14:textId="77777777" w:rsidR="00821111" w:rsidRPr="00387A67" w:rsidRDefault="00821111" w:rsidP="00821111">
      <w:pPr>
        <w:pStyle w:val="Loendilik"/>
        <w:numPr>
          <w:ilvl w:val="0"/>
          <w:numId w:val="4"/>
        </w:numPr>
        <w:rPr>
          <w:rFonts w:cs="Times New Roman"/>
        </w:rPr>
      </w:pPr>
      <w:r w:rsidRPr="00387A67">
        <w:rPr>
          <w:rFonts w:cs="Times New Roman"/>
        </w:rPr>
        <w:t xml:space="preserve">Tööealiste (eeldatavalt maksumaksjate) arvukus kahaneb </w:t>
      </w:r>
      <w:r w:rsidR="005B2698" w:rsidRPr="00387A67">
        <w:rPr>
          <w:rFonts w:cs="Times New Roman"/>
        </w:rPr>
        <w:t xml:space="preserve">u </w:t>
      </w:r>
      <w:r w:rsidRPr="00387A67">
        <w:rPr>
          <w:rFonts w:cs="Times New Roman"/>
        </w:rPr>
        <w:t>30% võrra;</w:t>
      </w:r>
    </w:p>
    <w:p w14:paraId="20F6ACF1" w14:textId="77777777" w:rsidR="00821111" w:rsidRPr="00387A67" w:rsidRDefault="00821111" w:rsidP="00821111">
      <w:pPr>
        <w:pStyle w:val="Loendilik"/>
        <w:numPr>
          <w:ilvl w:val="0"/>
          <w:numId w:val="4"/>
        </w:numPr>
      </w:pPr>
      <w:r w:rsidRPr="00387A67">
        <w:rPr>
          <w:rFonts w:cs="Times New Roman"/>
        </w:rPr>
        <w:t xml:space="preserve">Eakate arvukus jääb </w:t>
      </w:r>
      <w:r w:rsidR="005B2698" w:rsidRPr="00387A67">
        <w:rPr>
          <w:rFonts w:cs="Times New Roman"/>
        </w:rPr>
        <w:t xml:space="preserve">enamvähem </w:t>
      </w:r>
      <w:r w:rsidRPr="00387A67">
        <w:rPr>
          <w:rFonts w:cs="Times New Roman"/>
        </w:rPr>
        <w:t>samaks</w:t>
      </w:r>
      <w:r w:rsidR="005B2698" w:rsidRPr="00387A67">
        <w:rPr>
          <w:rFonts w:cs="Times New Roman"/>
        </w:rPr>
        <w:t xml:space="preserve"> kuid</w:t>
      </w:r>
      <w:r w:rsidRPr="00387A67">
        <w:rPr>
          <w:rFonts w:cs="Times New Roman"/>
        </w:rPr>
        <w:t xml:space="preserve"> osakaal kogurahvastikust kasvab </w:t>
      </w:r>
      <w:r w:rsidR="005B2698" w:rsidRPr="00387A67">
        <w:rPr>
          <w:rFonts w:cs="Times New Roman"/>
        </w:rPr>
        <w:t>27%lt 32</w:t>
      </w:r>
      <w:r w:rsidRPr="00387A67">
        <w:rPr>
          <w:rFonts w:cs="Times New Roman"/>
        </w:rPr>
        <w:t>%ni.</w:t>
      </w:r>
    </w:p>
    <w:p w14:paraId="32555FE9" w14:textId="77777777" w:rsidR="00821111" w:rsidRPr="00387A67" w:rsidRDefault="00821111" w:rsidP="00821111">
      <w:pPr>
        <w:jc w:val="both"/>
        <w:rPr>
          <w:lang w:val="et-EE"/>
        </w:rPr>
      </w:pPr>
    </w:p>
    <w:p w14:paraId="104D36A1" w14:textId="77777777" w:rsidR="00821111" w:rsidRPr="00387A67" w:rsidRDefault="00821111" w:rsidP="00821111">
      <w:pPr>
        <w:jc w:val="both"/>
        <w:rPr>
          <w:lang w:val="et-EE"/>
        </w:rPr>
      </w:pPr>
    </w:p>
    <w:p w14:paraId="7D356ED0" w14:textId="77777777" w:rsidR="00821111" w:rsidRPr="00387A67" w:rsidRDefault="00821111" w:rsidP="00821111">
      <w:pPr>
        <w:jc w:val="both"/>
        <w:rPr>
          <w:lang w:val="et-EE"/>
        </w:rPr>
      </w:pPr>
      <w:r w:rsidRPr="00387A67">
        <w:rPr>
          <w:lang w:val="et-EE"/>
        </w:rPr>
        <w:t xml:space="preserve">Rahvastikuareng </w:t>
      </w:r>
      <w:r w:rsidR="005B2698" w:rsidRPr="00387A67">
        <w:rPr>
          <w:lang w:val="et-EE"/>
        </w:rPr>
        <w:t>Kiviõli piirkonnas</w:t>
      </w:r>
      <w:r w:rsidRPr="00387A67">
        <w:rPr>
          <w:lang w:val="et-EE"/>
        </w:rPr>
        <w:t xml:space="preserve"> sõltub </w:t>
      </w:r>
      <w:r w:rsidR="005B2698" w:rsidRPr="00387A67">
        <w:rPr>
          <w:lang w:val="et-EE"/>
        </w:rPr>
        <w:t>nii sündimus- kui ka rändekäitumise muutumisest, kuna</w:t>
      </w:r>
      <w:r w:rsidRPr="00387A67">
        <w:rPr>
          <w:lang w:val="et-EE"/>
        </w:rPr>
        <w:t xml:space="preserve"> loomuliku iibe osatähtsus rahvaarvu muutuses </w:t>
      </w:r>
      <w:r w:rsidR="005B2698" w:rsidRPr="00387A67">
        <w:rPr>
          <w:lang w:val="et-EE"/>
        </w:rPr>
        <w:t>piirkonnas</w:t>
      </w:r>
      <w:r w:rsidRPr="00387A67">
        <w:rPr>
          <w:lang w:val="et-EE"/>
        </w:rPr>
        <w:t xml:space="preserve"> </w:t>
      </w:r>
      <w:r w:rsidR="005B2698" w:rsidRPr="00387A67">
        <w:rPr>
          <w:lang w:val="et-EE"/>
        </w:rPr>
        <w:t>on üle 40%.</w:t>
      </w:r>
      <w:r w:rsidRPr="00387A67">
        <w:rPr>
          <w:lang w:val="et-EE"/>
        </w:rPr>
        <w:t xml:space="preserve"> Ehk lähtuvalt rahvastiku hetke vanuselis-soolisest jaotusest saab rahvaarvu kahanemise trendi ümber pöörata vaid sündimuse oluline kasv koosmõjus väljarände peatumisega. Eelnev on aga hetke väliskeskkonna tingimusi arvestades pigem ebatõenäoline.</w:t>
      </w:r>
    </w:p>
    <w:p w14:paraId="05E927D6" w14:textId="77777777" w:rsidR="00821111" w:rsidRPr="00387A67" w:rsidRDefault="00821111" w:rsidP="00821111">
      <w:pPr>
        <w:jc w:val="both"/>
        <w:rPr>
          <w:highlight w:val="yellow"/>
          <w:lang w:val="et-EE"/>
        </w:rPr>
      </w:pPr>
    </w:p>
    <w:p w14:paraId="5CAA0366" w14:textId="77777777" w:rsidR="00821111" w:rsidRPr="00387A67" w:rsidRDefault="00821111" w:rsidP="00821111">
      <w:pPr>
        <w:jc w:val="both"/>
        <w:rPr>
          <w:lang w:val="et-EE"/>
        </w:rPr>
      </w:pPr>
      <w:r w:rsidRPr="00387A67">
        <w:rPr>
          <w:lang w:val="et-EE"/>
        </w:rPr>
        <w:t xml:space="preserve">Põhiprobleemiks tulenevalt rahvastikuarengutest võib kujuneda sotsiaalteenuste pakkumise suurendamine kahaneva maksutulu juures. Teisalt vajab </w:t>
      </w:r>
      <w:r w:rsidR="005B2698" w:rsidRPr="00387A67">
        <w:rPr>
          <w:lang w:val="et-EE"/>
        </w:rPr>
        <w:t xml:space="preserve">lähimal kümnendil olulist vähendamist </w:t>
      </w:r>
      <w:r w:rsidRPr="00387A67">
        <w:rPr>
          <w:lang w:val="et-EE"/>
        </w:rPr>
        <w:t xml:space="preserve">haridusteenuse </w:t>
      </w:r>
      <w:r w:rsidR="005B2698" w:rsidRPr="00387A67">
        <w:rPr>
          <w:lang w:val="et-EE"/>
        </w:rPr>
        <w:t>osutamine</w:t>
      </w:r>
      <w:r w:rsidRPr="00387A67">
        <w:rPr>
          <w:lang w:val="et-EE"/>
        </w:rPr>
        <w:t>.</w:t>
      </w:r>
    </w:p>
    <w:p w14:paraId="015144EA" w14:textId="5D94338A" w:rsidR="00637F77" w:rsidRPr="00387A67" w:rsidRDefault="00637F77">
      <w:pPr>
        <w:spacing w:after="160" w:line="259" w:lineRule="auto"/>
        <w:rPr>
          <w:lang w:val="et-EE"/>
        </w:rPr>
      </w:pPr>
    </w:p>
    <w:sectPr w:rsidR="00637F77" w:rsidRPr="00387A67">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A77AD" w14:textId="77777777" w:rsidR="0047149D" w:rsidRDefault="0047149D" w:rsidP="00586858">
      <w:r>
        <w:separator/>
      </w:r>
    </w:p>
  </w:endnote>
  <w:endnote w:type="continuationSeparator" w:id="0">
    <w:p w14:paraId="456A5DD0" w14:textId="77777777" w:rsidR="0047149D" w:rsidRDefault="0047149D" w:rsidP="005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C540" w14:textId="77777777" w:rsidR="00A90BCD" w:rsidRDefault="00A90BCD" w:rsidP="0010254B">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620BFE7" w14:textId="77777777" w:rsidR="00A90BCD" w:rsidRDefault="00A90BCD" w:rsidP="00A90BC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2732" w14:textId="77777777" w:rsidR="00A90BCD" w:rsidRDefault="00A90BCD" w:rsidP="0010254B">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w:t>
    </w:r>
    <w:r>
      <w:rPr>
        <w:rStyle w:val="Lehekljenumber"/>
      </w:rPr>
      <w:fldChar w:fldCharType="end"/>
    </w:r>
  </w:p>
  <w:p w14:paraId="7D2CD292" w14:textId="77777777" w:rsidR="00A90BCD" w:rsidRDefault="00A90BCD" w:rsidP="00A90BCD">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18F7" w14:textId="77777777" w:rsidR="0047149D" w:rsidRDefault="0047149D" w:rsidP="00586858">
      <w:r>
        <w:separator/>
      </w:r>
    </w:p>
  </w:footnote>
  <w:footnote w:type="continuationSeparator" w:id="0">
    <w:p w14:paraId="72BEFAF7" w14:textId="77777777" w:rsidR="0047149D" w:rsidRDefault="0047149D" w:rsidP="0058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7D5"/>
    <w:multiLevelType w:val="hybridMultilevel"/>
    <w:tmpl w:val="49A832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73212FE"/>
    <w:multiLevelType w:val="hybridMultilevel"/>
    <w:tmpl w:val="A83A57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BF3303"/>
    <w:multiLevelType w:val="multilevel"/>
    <w:tmpl w:val="85F468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E42646"/>
    <w:multiLevelType w:val="hybridMultilevel"/>
    <w:tmpl w:val="0A50D9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1D34F01"/>
    <w:multiLevelType w:val="multilevel"/>
    <w:tmpl w:val="29702C46"/>
    <w:lvl w:ilvl="0">
      <w:start w:val="1"/>
      <w:numFmt w:val="decimal"/>
      <w:pStyle w:val="Pealkiri1"/>
      <w:lvlText w:val="%1"/>
      <w:lvlJc w:val="left"/>
      <w:pPr>
        <w:ind w:left="432" w:hanging="432"/>
      </w:pPr>
      <w:rPr>
        <w:b/>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5" w15:restartNumberingAfterBreak="0">
    <w:nsid w:val="55782B36"/>
    <w:multiLevelType w:val="multilevel"/>
    <w:tmpl w:val="D1C85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4C28B3"/>
    <w:multiLevelType w:val="hybridMultilevel"/>
    <w:tmpl w:val="3FCCF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0E676EB"/>
    <w:multiLevelType w:val="hybridMultilevel"/>
    <w:tmpl w:val="DF0A0E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11"/>
    <w:rsid w:val="00037F89"/>
    <w:rsid w:val="0007273F"/>
    <w:rsid w:val="0008256B"/>
    <w:rsid w:val="00083C69"/>
    <w:rsid w:val="0009363D"/>
    <w:rsid w:val="000E4721"/>
    <w:rsid w:val="00145D3F"/>
    <w:rsid w:val="00194C80"/>
    <w:rsid w:val="001C3F90"/>
    <w:rsid w:val="001F14F5"/>
    <w:rsid w:val="002C0F45"/>
    <w:rsid w:val="002F75DA"/>
    <w:rsid w:val="00387A67"/>
    <w:rsid w:val="0042696A"/>
    <w:rsid w:val="0047149D"/>
    <w:rsid w:val="004C33D8"/>
    <w:rsid w:val="004F7BFE"/>
    <w:rsid w:val="00520C0C"/>
    <w:rsid w:val="00586858"/>
    <w:rsid w:val="005B13A7"/>
    <w:rsid w:val="005B2698"/>
    <w:rsid w:val="006169F5"/>
    <w:rsid w:val="00637F77"/>
    <w:rsid w:val="0068488C"/>
    <w:rsid w:val="006D72CA"/>
    <w:rsid w:val="006E0EB3"/>
    <w:rsid w:val="007119A9"/>
    <w:rsid w:val="00715BBE"/>
    <w:rsid w:val="00750EC2"/>
    <w:rsid w:val="00761A65"/>
    <w:rsid w:val="007867C3"/>
    <w:rsid w:val="007B34C8"/>
    <w:rsid w:val="00821111"/>
    <w:rsid w:val="00867F75"/>
    <w:rsid w:val="008C4935"/>
    <w:rsid w:val="008C4B64"/>
    <w:rsid w:val="009E6B9D"/>
    <w:rsid w:val="00A6589B"/>
    <w:rsid w:val="00A90BCD"/>
    <w:rsid w:val="00AB3824"/>
    <w:rsid w:val="00B36FD6"/>
    <w:rsid w:val="00B56952"/>
    <w:rsid w:val="00B7109E"/>
    <w:rsid w:val="00B87298"/>
    <w:rsid w:val="00C629E9"/>
    <w:rsid w:val="00C9593C"/>
    <w:rsid w:val="00DD7078"/>
    <w:rsid w:val="00DF06C3"/>
    <w:rsid w:val="00E61462"/>
    <w:rsid w:val="00E72AC4"/>
    <w:rsid w:val="00E837D5"/>
    <w:rsid w:val="00EA1636"/>
    <w:rsid w:val="00EA5E17"/>
    <w:rsid w:val="00F32225"/>
    <w:rsid w:val="00F823D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5330"/>
  <w15:docId w15:val="{F50FA16B-9ED3-4381-BEF0-AD3C0D2B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21111"/>
    <w:pPr>
      <w:spacing w:after="0" w:line="240" w:lineRule="auto"/>
    </w:pPr>
    <w:rPr>
      <w:rFonts w:ascii="Times New Roman" w:hAnsi="Times New Roman" w:cs="Times New Roman"/>
      <w:sz w:val="24"/>
      <w:szCs w:val="24"/>
      <w:lang w:val="en-US"/>
    </w:rPr>
  </w:style>
  <w:style w:type="paragraph" w:styleId="Pealkiri1">
    <w:name w:val="heading 1"/>
    <w:basedOn w:val="Normaallaad"/>
    <w:next w:val="Normaallaad"/>
    <w:link w:val="Pealkiri1Mrk"/>
    <w:uiPriority w:val="9"/>
    <w:qFormat/>
    <w:rsid w:val="00821111"/>
    <w:pPr>
      <w:keepNext/>
      <w:keepLines/>
      <w:numPr>
        <w:numId w:val="1"/>
      </w:numPr>
      <w:jc w:val="both"/>
      <w:outlineLvl w:val="0"/>
    </w:pPr>
    <w:rPr>
      <w:rFonts w:ascii="Arial" w:eastAsiaTheme="majorEastAsia" w:hAnsi="Arial" w:cstheme="majorBidi"/>
      <w:b/>
      <w:bCs/>
      <w:sz w:val="32"/>
      <w:szCs w:val="32"/>
      <w:lang w:val="et-EE"/>
    </w:rPr>
  </w:style>
  <w:style w:type="paragraph" w:styleId="Pealkiri2">
    <w:name w:val="heading 2"/>
    <w:basedOn w:val="Normaallaad"/>
    <w:next w:val="Normaallaad"/>
    <w:link w:val="Pealkiri2Mrk"/>
    <w:uiPriority w:val="9"/>
    <w:unhideWhenUsed/>
    <w:qFormat/>
    <w:rsid w:val="00821111"/>
    <w:pPr>
      <w:keepNext/>
      <w:keepLines/>
      <w:numPr>
        <w:ilvl w:val="1"/>
        <w:numId w:val="1"/>
      </w:numPr>
      <w:jc w:val="both"/>
      <w:outlineLvl w:val="1"/>
    </w:pPr>
    <w:rPr>
      <w:rFonts w:ascii="Arial" w:eastAsiaTheme="majorEastAsia" w:hAnsi="Arial" w:cstheme="majorBidi"/>
      <w:b/>
      <w:bCs/>
      <w:i/>
      <w:iCs/>
      <w:sz w:val="28"/>
      <w:szCs w:val="26"/>
      <w:lang w:val="et-EE"/>
    </w:rPr>
  </w:style>
  <w:style w:type="paragraph" w:styleId="Pealkiri3">
    <w:name w:val="heading 3"/>
    <w:basedOn w:val="Normaallaad"/>
    <w:next w:val="Normaallaad"/>
    <w:link w:val="Pealkiri3Mrk"/>
    <w:uiPriority w:val="9"/>
    <w:unhideWhenUsed/>
    <w:qFormat/>
    <w:rsid w:val="00821111"/>
    <w:pPr>
      <w:keepNext/>
      <w:keepLines/>
      <w:numPr>
        <w:ilvl w:val="2"/>
        <w:numId w:val="1"/>
      </w:numPr>
      <w:spacing w:before="40"/>
      <w:jc w:val="both"/>
      <w:outlineLvl w:val="2"/>
    </w:pPr>
    <w:rPr>
      <w:rFonts w:asciiTheme="majorHAnsi" w:eastAsiaTheme="majorEastAsia" w:hAnsiTheme="majorHAnsi" w:cstheme="majorBidi"/>
      <w:color w:val="1F3763" w:themeColor="accent1" w:themeShade="7F"/>
      <w:lang w:val="et-EE"/>
    </w:rPr>
  </w:style>
  <w:style w:type="paragraph" w:styleId="Pealkiri4">
    <w:name w:val="heading 4"/>
    <w:basedOn w:val="Normaallaad"/>
    <w:next w:val="Normaallaad"/>
    <w:link w:val="Pealkiri4Mrk"/>
    <w:uiPriority w:val="9"/>
    <w:semiHidden/>
    <w:unhideWhenUsed/>
    <w:qFormat/>
    <w:rsid w:val="00821111"/>
    <w:pPr>
      <w:keepNext/>
      <w:keepLines/>
      <w:numPr>
        <w:ilvl w:val="3"/>
        <w:numId w:val="1"/>
      </w:numPr>
      <w:spacing w:before="40"/>
      <w:jc w:val="both"/>
      <w:outlineLvl w:val="3"/>
    </w:pPr>
    <w:rPr>
      <w:rFonts w:asciiTheme="majorHAnsi" w:eastAsiaTheme="majorEastAsia" w:hAnsiTheme="majorHAnsi" w:cstheme="majorBidi"/>
      <w:i/>
      <w:iCs/>
      <w:color w:val="2F5496" w:themeColor="accent1" w:themeShade="BF"/>
      <w:lang w:val="et-EE"/>
    </w:rPr>
  </w:style>
  <w:style w:type="paragraph" w:styleId="Pealkiri5">
    <w:name w:val="heading 5"/>
    <w:basedOn w:val="Normaallaad"/>
    <w:next w:val="Normaallaad"/>
    <w:link w:val="Pealkiri5Mrk"/>
    <w:uiPriority w:val="9"/>
    <w:semiHidden/>
    <w:unhideWhenUsed/>
    <w:qFormat/>
    <w:rsid w:val="00821111"/>
    <w:pPr>
      <w:keepNext/>
      <w:keepLines/>
      <w:numPr>
        <w:ilvl w:val="4"/>
        <w:numId w:val="1"/>
      </w:numPr>
      <w:spacing w:before="40"/>
      <w:jc w:val="both"/>
      <w:outlineLvl w:val="4"/>
    </w:pPr>
    <w:rPr>
      <w:rFonts w:asciiTheme="majorHAnsi" w:eastAsiaTheme="majorEastAsia" w:hAnsiTheme="majorHAnsi" w:cstheme="majorBidi"/>
      <w:color w:val="2F5496" w:themeColor="accent1" w:themeShade="BF"/>
      <w:lang w:val="et-EE"/>
    </w:rPr>
  </w:style>
  <w:style w:type="paragraph" w:styleId="Pealkiri6">
    <w:name w:val="heading 6"/>
    <w:basedOn w:val="Normaallaad"/>
    <w:next w:val="Normaallaad"/>
    <w:link w:val="Pealkiri6Mrk"/>
    <w:uiPriority w:val="9"/>
    <w:semiHidden/>
    <w:unhideWhenUsed/>
    <w:qFormat/>
    <w:rsid w:val="00821111"/>
    <w:pPr>
      <w:keepNext/>
      <w:keepLines/>
      <w:numPr>
        <w:ilvl w:val="5"/>
        <w:numId w:val="1"/>
      </w:numPr>
      <w:spacing w:before="40"/>
      <w:jc w:val="both"/>
      <w:outlineLvl w:val="5"/>
    </w:pPr>
    <w:rPr>
      <w:rFonts w:asciiTheme="majorHAnsi" w:eastAsiaTheme="majorEastAsia" w:hAnsiTheme="majorHAnsi" w:cstheme="majorBidi"/>
      <w:color w:val="1F3763" w:themeColor="accent1" w:themeShade="7F"/>
      <w:lang w:val="et-EE"/>
    </w:rPr>
  </w:style>
  <w:style w:type="paragraph" w:styleId="Pealkiri7">
    <w:name w:val="heading 7"/>
    <w:basedOn w:val="Normaallaad"/>
    <w:next w:val="Normaallaad"/>
    <w:link w:val="Pealkiri7Mrk"/>
    <w:uiPriority w:val="9"/>
    <w:semiHidden/>
    <w:unhideWhenUsed/>
    <w:qFormat/>
    <w:rsid w:val="00821111"/>
    <w:pPr>
      <w:keepNext/>
      <w:keepLines/>
      <w:numPr>
        <w:ilvl w:val="6"/>
        <w:numId w:val="1"/>
      </w:numPr>
      <w:spacing w:before="40"/>
      <w:jc w:val="both"/>
      <w:outlineLvl w:val="6"/>
    </w:pPr>
    <w:rPr>
      <w:rFonts w:asciiTheme="majorHAnsi" w:eastAsiaTheme="majorEastAsia" w:hAnsiTheme="majorHAnsi" w:cstheme="majorBidi"/>
      <w:i/>
      <w:iCs/>
      <w:color w:val="1F3763" w:themeColor="accent1" w:themeShade="7F"/>
      <w:lang w:val="et-EE"/>
    </w:rPr>
  </w:style>
  <w:style w:type="paragraph" w:styleId="Pealkiri8">
    <w:name w:val="heading 8"/>
    <w:basedOn w:val="Normaallaad"/>
    <w:next w:val="Normaallaad"/>
    <w:link w:val="Pealkiri8Mrk"/>
    <w:uiPriority w:val="9"/>
    <w:semiHidden/>
    <w:unhideWhenUsed/>
    <w:qFormat/>
    <w:rsid w:val="00821111"/>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lang w:val="et-EE"/>
    </w:rPr>
  </w:style>
  <w:style w:type="paragraph" w:styleId="Pealkiri9">
    <w:name w:val="heading 9"/>
    <w:basedOn w:val="Normaallaad"/>
    <w:next w:val="Normaallaad"/>
    <w:link w:val="Pealkiri9Mrk"/>
    <w:uiPriority w:val="9"/>
    <w:semiHidden/>
    <w:unhideWhenUsed/>
    <w:qFormat/>
    <w:rsid w:val="00821111"/>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21111"/>
    <w:rPr>
      <w:rFonts w:ascii="Arial" w:eastAsiaTheme="majorEastAsia" w:hAnsi="Arial" w:cstheme="majorBidi"/>
      <w:b/>
      <w:bCs/>
      <w:sz w:val="32"/>
      <w:szCs w:val="32"/>
    </w:rPr>
  </w:style>
  <w:style w:type="character" w:customStyle="1" w:styleId="Pealkiri2Mrk">
    <w:name w:val="Pealkiri 2 Märk"/>
    <w:basedOn w:val="Liguvaikefont"/>
    <w:link w:val="Pealkiri2"/>
    <w:uiPriority w:val="9"/>
    <w:rsid w:val="00821111"/>
    <w:rPr>
      <w:rFonts w:ascii="Arial" w:eastAsiaTheme="majorEastAsia" w:hAnsi="Arial" w:cstheme="majorBidi"/>
      <w:b/>
      <w:bCs/>
      <w:i/>
      <w:iCs/>
      <w:sz w:val="28"/>
      <w:szCs w:val="26"/>
    </w:rPr>
  </w:style>
  <w:style w:type="character" w:customStyle="1" w:styleId="Pealkiri3Mrk">
    <w:name w:val="Pealkiri 3 Märk"/>
    <w:basedOn w:val="Liguvaikefont"/>
    <w:link w:val="Pealkiri3"/>
    <w:uiPriority w:val="9"/>
    <w:rsid w:val="00821111"/>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821111"/>
    <w:rPr>
      <w:rFonts w:asciiTheme="majorHAnsi" w:eastAsiaTheme="majorEastAsia" w:hAnsiTheme="majorHAnsi" w:cstheme="majorBidi"/>
      <w:i/>
      <w:iCs/>
      <w:color w:val="2F5496" w:themeColor="accent1" w:themeShade="BF"/>
      <w:sz w:val="24"/>
      <w:szCs w:val="24"/>
    </w:rPr>
  </w:style>
  <w:style w:type="character" w:customStyle="1" w:styleId="Pealkiri5Mrk">
    <w:name w:val="Pealkiri 5 Märk"/>
    <w:basedOn w:val="Liguvaikefont"/>
    <w:link w:val="Pealkiri5"/>
    <w:uiPriority w:val="9"/>
    <w:semiHidden/>
    <w:rsid w:val="00821111"/>
    <w:rPr>
      <w:rFonts w:asciiTheme="majorHAnsi" w:eastAsiaTheme="majorEastAsia" w:hAnsiTheme="majorHAnsi" w:cstheme="majorBidi"/>
      <w:color w:val="2F5496" w:themeColor="accent1" w:themeShade="BF"/>
      <w:sz w:val="24"/>
      <w:szCs w:val="24"/>
    </w:rPr>
  </w:style>
  <w:style w:type="character" w:customStyle="1" w:styleId="Pealkiri6Mrk">
    <w:name w:val="Pealkiri 6 Märk"/>
    <w:basedOn w:val="Liguvaikefont"/>
    <w:link w:val="Pealkiri6"/>
    <w:uiPriority w:val="9"/>
    <w:semiHidden/>
    <w:rsid w:val="00821111"/>
    <w:rPr>
      <w:rFonts w:asciiTheme="majorHAnsi" w:eastAsiaTheme="majorEastAsia" w:hAnsiTheme="majorHAnsi" w:cstheme="majorBidi"/>
      <w:color w:val="1F3763" w:themeColor="accent1" w:themeShade="7F"/>
      <w:sz w:val="24"/>
      <w:szCs w:val="24"/>
    </w:rPr>
  </w:style>
  <w:style w:type="character" w:customStyle="1" w:styleId="Pealkiri7Mrk">
    <w:name w:val="Pealkiri 7 Märk"/>
    <w:basedOn w:val="Liguvaikefont"/>
    <w:link w:val="Pealkiri7"/>
    <w:uiPriority w:val="9"/>
    <w:semiHidden/>
    <w:rsid w:val="00821111"/>
    <w:rPr>
      <w:rFonts w:asciiTheme="majorHAnsi" w:eastAsiaTheme="majorEastAsia" w:hAnsiTheme="majorHAnsi" w:cstheme="majorBidi"/>
      <w:i/>
      <w:iCs/>
      <w:color w:val="1F3763" w:themeColor="accent1" w:themeShade="7F"/>
      <w:sz w:val="24"/>
      <w:szCs w:val="24"/>
    </w:rPr>
  </w:style>
  <w:style w:type="character" w:customStyle="1" w:styleId="Pealkiri8Mrk">
    <w:name w:val="Pealkiri 8 Märk"/>
    <w:basedOn w:val="Liguvaikefont"/>
    <w:link w:val="Pealkiri8"/>
    <w:uiPriority w:val="9"/>
    <w:semiHidden/>
    <w:rsid w:val="00821111"/>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821111"/>
    <w:rPr>
      <w:rFonts w:asciiTheme="majorHAnsi" w:eastAsiaTheme="majorEastAsia" w:hAnsiTheme="majorHAnsi" w:cstheme="majorBidi"/>
      <w:i/>
      <w:iCs/>
      <w:color w:val="272727" w:themeColor="text1" w:themeTint="D8"/>
      <w:sz w:val="21"/>
      <w:szCs w:val="21"/>
    </w:rPr>
  </w:style>
  <w:style w:type="paragraph" w:styleId="Loendilik">
    <w:name w:val="List Paragraph"/>
    <w:basedOn w:val="Normaallaad"/>
    <w:uiPriority w:val="34"/>
    <w:qFormat/>
    <w:rsid w:val="00821111"/>
    <w:pPr>
      <w:ind w:left="720"/>
      <w:contextualSpacing/>
      <w:jc w:val="both"/>
    </w:pPr>
    <w:rPr>
      <w:rFonts w:cstheme="minorBidi"/>
      <w:lang w:val="et-EE"/>
    </w:rPr>
  </w:style>
  <w:style w:type="paragraph" w:styleId="Pealdis">
    <w:name w:val="caption"/>
    <w:basedOn w:val="Normaallaad"/>
    <w:next w:val="Normaallaad"/>
    <w:uiPriority w:val="35"/>
    <w:unhideWhenUsed/>
    <w:qFormat/>
    <w:rsid w:val="00821111"/>
    <w:pPr>
      <w:spacing w:after="200"/>
      <w:jc w:val="both"/>
    </w:pPr>
    <w:rPr>
      <w:rFonts w:cstheme="minorBidi"/>
      <w:i/>
      <w:iCs/>
      <w:color w:val="44546A" w:themeColor="text2"/>
      <w:sz w:val="18"/>
      <w:szCs w:val="18"/>
      <w:lang w:val="et-EE"/>
    </w:rPr>
  </w:style>
  <w:style w:type="paragraph" w:styleId="Pis">
    <w:name w:val="header"/>
    <w:basedOn w:val="Normaallaad"/>
    <w:link w:val="PisMrk"/>
    <w:uiPriority w:val="99"/>
    <w:unhideWhenUsed/>
    <w:rsid w:val="00586858"/>
    <w:pPr>
      <w:tabs>
        <w:tab w:val="center" w:pos="4536"/>
        <w:tab w:val="right" w:pos="9072"/>
      </w:tabs>
    </w:pPr>
  </w:style>
  <w:style w:type="character" w:customStyle="1" w:styleId="PisMrk">
    <w:name w:val="Päis Märk"/>
    <w:basedOn w:val="Liguvaikefont"/>
    <w:link w:val="Pis"/>
    <w:uiPriority w:val="99"/>
    <w:rsid w:val="00586858"/>
    <w:rPr>
      <w:rFonts w:ascii="Times New Roman" w:hAnsi="Times New Roman" w:cs="Times New Roman"/>
      <w:sz w:val="24"/>
      <w:szCs w:val="24"/>
      <w:lang w:val="en-US"/>
    </w:rPr>
  </w:style>
  <w:style w:type="paragraph" w:styleId="Jalus">
    <w:name w:val="footer"/>
    <w:basedOn w:val="Normaallaad"/>
    <w:link w:val="JalusMrk"/>
    <w:uiPriority w:val="99"/>
    <w:unhideWhenUsed/>
    <w:rsid w:val="00586858"/>
    <w:pPr>
      <w:tabs>
        <w:tab w:val="center" w:pos="4536"/>
        <w:tab w:val="right" w:pos="9072"/>
      </w:tabs>
    </w:pPr>
  </w:style>
  <w:style w:type="character" w:customStyle="1" w:styleId="JalusMrk">
    <w:name w:val="Jalus Märk"/>
    <w:basedOn w:val="Liguvaikefont"/>
    <w:link w:val="Jalus"/>
    <w:uiPriority w:val="99"/>
    <w:rsid w:val="00586858"/>
    <w:rPr>
      <w:rFonts w:ascii="Times New Roman" w:hAnsi="Times New Roman" w:cs="Times New Roman"/>
      <w:sz w:val="24"/>
      <w:szCs w:val="24"/>
      <w:lang w:val="en-US"/>
    </w:rPr>
  </w:style>
  <w:style w:type="paragraph" w:styleId="Jutumullitekst">
    <w:name w:val="Balloon Text"/>
    <w:basedOn w:val="Normaallaad"/>
    <w:link w:val="JutumullitekstMrk"/>
    <w:uiPriority w:val="99"/>
    <w:semiHidden/>
    <w:unhideWhenUsed/>
    <w:rsid w:val="0068488C"/>
    <w:rPr>
      <w:rFonts w:ascii="Tahoma" w:hAnsi="Tahoma" w:cs="Tahoma"/>
      <w:sz w:val="16"/>
      <w:szCs w:val="16"/>
    </w:rPr>
  </w:style>
  <w:style w:type="character" w:customStyle="1" w:styleId="JutumullitekstMrk">
    <w:name w:val="Jutumullitekst Märk"/>
    <w:basedOn w:val="Liguvaikefont"/>
    <w:link w:val="Jutumullitekst"/>
    <w:uiPriority w:val="99"/>
    <w:semiHidden/>
    <w:rsid w:val="0068488C"/>
    <w:rPr>
      <w:rFonts w:ascii="Tahoma" w:hAnsi="Tahoma" w:cs="Tahoma"/>
      <w:sz w:val="16"/>
      <w:szCs w:val="16"/>
      <w:lang w:val="en-US"/>
    </w:rPr>
  </w:style>
  <w:style w:type="character" w:styleId="Lehekljenumber">
    <w:name w:val="page number"/>
    <w:basedOn w:val="Liguvaikefont"/>
    <w:uiPriority w:val="99"/>
    <w:semiHidden/>
    <w:unhideWhenUsed/>
    <w:rsid w:val="00A9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033597">
      <w:bodyDiv w:val="1"/>
      <w:marLeft w:val="0"/>
      <w:marRight w:val="0"/>
      <w:marTop w:val="0"/>
      <w:marBottom w:val="0"/>
      <w:divBdr>
        <w:top w:val="none" w:sz="0" w:space="0" w:color="auto"/>
        <w:left w:val="none" w:sz="0" w:space="0" w:color="auto"/>
        <w:bottom w:val="none" w:sz="0" w:space="0" w:color="auto"/>
        <w:right w:val="none" w:sz="0" w:space="0" w:color="auto"/>
      </w:divBdr>
    </w:div>
    <w:div w:id="817528526">
      <w:bodyDiv w:val="1"/>
      <w:marLeft w:val="0"/>
      <w:marRight w:val="0"/>
      <w:marTop w:val="0"/>
      <w:marBottom w:val="0"/>
      <w:divBdr>
        <w:top w:val="none" w:sz="0" w:space="0" w:color="auto"/>
        <w:left w:val="none" w:sz="0" w:space="0" w:color="auto"/>
        <w:bottom w:val="none" w:sz="0" w:space="0" w:color="auto"/>
        <w:right w:val="none" w:sz="0" w:space="0" w:color="auto"/>
      </w:divBdr>
    </w:div>
    <w:div w:id="1074353159">
      <w:bodyDiv w:val="1"/>
      <w:marLeft w:val="0"/>
      <w:marRight w:val="0"/>
      <w:marTop w:val="0"/>
      <w:marBottom w:val="0"/>
      <w:divBdr>
        <w:top w:val="none" w:sz="0" w:space="0" w:color="auto"/>
        <w:left w:val="none" w:sz="0" w:space="0" w:color="auto"/>
        <w:bottom w:val="none" w:sz="0" w:space="0" w:color="auto"/>
        <w:right w:val="none" w:sz="0" w:space="0" w:color="auto"/>
      </w:divBdr>
    </w:div>
    <w:div w:id="1112092977">
      <w:bodyDiv w:val="1"/>
      <w:marLeft w:val="0"/>
      <w:marRight w:val="0"/>
      <w:marTop w:val="0"/>
      <w:marBottom w:val="0"/>
      <w:divBdr>
        <w:top w:val="none" w:sz="0" w:space="0" w:color="auto"/>
        <w:left w:val="none" w:sz="0" w:space="0" w:color="auto"/>
        <w:bottom w:val="none" w:sz="0" w:space="0" w:color="auto"/>
        <w:right w:val="none" w:sz="0" w:space="0" w:color="auto"/>
      </w:divBdr>
    </w:div>
    <w:div w:id="1803384906">
      <w:bodyDiv w:val="1"/>
      <w:marLeft w:val="0"/>
      <w:marRight w:val="0"/>
      <w:marTop w:val="0"/>
      <w:marBottom w:val="0"/>
      <w:divBdr>
        <w:top w:val="none" w:sz="0" w:space="0" w:color="auto"/>
        <w:left w:val="none" w:sz="0" w:space="0" w:color="auto"/>
        <w:bottom w:val="none" w:sz="0" w:space="0" w:color="auto"/>
        <w:right w:val="none" w:sz="0" w:space="0" w:color="auto"/>
      </w:divBdr>
    </w:div>
    <w:div w:id="20537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annes\Dropbox\Jagatud%20Mihkliga\2017%20Kivi&#245;li%20sotsiaal\2017.08.06%20Kivi&#245;li%20piirkonna%20rahvastikuanal&#252;&#252;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19957184451601E-2"/>
          <c:y val="0.147148469873711"/>
          <c:w val="0.78526806781799696"/>
          <c:h val="0.760816221466034"/>
        </c:manualLayout>
      </c:layout>
      <c:lineChart>
        <c:grouping val="standard"/>
        <c:varyColors val="0"/>
        <c:ser>
          <c:idx val="0"/>
          <c:order val="0"/>
          <c:tx>
            <c:strRef>
              <c:f>'Struktuur 2017'!$A$45</c:f>
              <c:strCache>
                <c:ptCount val="1"/>
                <c:pt idx="0">
                  <c:v>Kiviõli linn</c:v>
                </c:pt>
              </c:strCache>
            </c:strRef>
          </c:tx>
          <c:spPr>
            <a:ln w="28575" cap="rnd">
              <a:solidFill>
                <a:schemeClr val="accent1"/>
              </a:solidFill>
              <a:round/>
            </a:ln>
            <a:effectLst/>
          </c:spPr>
          <c:marker>
            <c:symbol val="none"/>
          </c:marker>
          <c:dLbls>
            <c:dLbl>
              <c:idx val="0"/>
              <c:layout>
                <c:manualLayout>
                  <c:x val="-1.3227513227513201E-2"/>
                  <c:y val="-3.1645569620253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18-4A4F-8E1C-DD7232696F2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18-4A4F-8E1C-DD7232696F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'Struktuur 2017'!$B$44:$G$44</c:f>
              <c:numCache>
                <c:formatCode>General</c:formatCode>
                <c:ptCount val="6"/>
                <c:pt idx="0">
                  <c:v>2012</c:v>
                </c:pt>
                <c:pt idx="1">
                  <c:v>2013</c:v>
                </c:pt>
                <c:pt idx="2">
                  <c:v>2014</c:v>
                </c:pt>
                <c:pt idx="3">
                  <c:v>2015</c:v>
                </c:pt>
                <c:pt idx="4">
                  <c:v>2016</c:v>
                </c:pt>
                <c:pt idx="5">
                  <c:v>2017</c:v>
                </c:pt>
              </c:numCache>
            </c:numRef>
          </c:cat>
          <c:val>
            <c:numRef>
              <c:f>'Struktuur 2017'!$B$45:$G$45</c:f>
              <c:numCache>
                <c:formatCode>General</c:formatCode>
                <c:ptCount val="6"/>
                <c:pt idx="0">
                  <c:v>6157</c:v>
                </c:pt>
                <c:pt idx="1">
                  <c:v>6001</c:v>
                </c:pt>
                <c:pt idx="2">
                  <c:v>5814</c:v>
                </c:pt>
                <c:pt idx="3">
                  <c:v>5648</c:v>
                </c:pt>
                <c:pt idx="4">
                  <c:v>5542</c:v>
                </c:pt>
                <c:pt idx="5">
                  <c:v>5308</c:v>
                </c:pt>
              </c:numCache>
            </c:numRef>
          </c:val>
          <c:smooth val="0"/>
          <c:extLst>
            <c:ext xmlns:c16="http://schemas.microsoft.com/office/drawing/2014/chart" uri="{C3380CC4-5D6E-409C-BE32-E72D297353CC}">
              <c16:uniqueId val="{00000000-AA18-4A4F-8E1C-DD7232696F28}"/>
            </c:ext>
          </c:extLst>
        </c:ser>
        <c:ser>
          <c:idx val="1"/>
          <c:order val="1"/>
          <c:tx>
            <c:strRef>
              <c:f>'Struktuur 2017'!$A$46</c:f>
              <c:strCache>
                <c:ptCount val="1"/>
                <c:pt idx="0">
                  <c:v>Lüganuse vald</c:v>
                </c:pt>
              </c:strCache>
            </c:strRef>
          </c:tx>
          <c:spPr>
            <a:ln w="28575" cap="rnd">
              <a:solidFill>
                <a:schemeClr val="accent2"/>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18-4A4F-8E1C-DD7232696F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'Struktuur 2017'!$B$44:$G$44</c:f>
              <c:numCache>
                <c:formatCode>General</c:formatCode>
                <c:ptCount val="6"/>
                <c:pt idx="0">
                  <c:v>2012</c:v>
                </c:pt>
                <c:pt idx="1">
                  <c:v>2013</c:v>
                </c:pt>
                <c:pt idx="2">
                  <c:v>2014</c:v>
                </c:pt>
                <c:pt idx="3">
                  <c:v>2015</c:v>
                </c:pt>
                <c:pt idx="4">
                  <c:v>2016</c:v>
                </c:pt>
                <c:pt idx="5">
                  <c:v>2017</c:v>
                </c:pt>
              </c:numCache>
            </c:numRef>
          </c:cat>
          <c:val>
            <c:numRef>
              <c:f>'Struktuur 2017'!$B$46:$G$46</c:f>
              <c:numCache>
                <c:formatCode>General</c:formatCode>
                <c:ptCount val="6"/>
                <c:pt idx="2">
                  <c:v>3233</c:v>
                </c:pt>
                <c:pt idx="3">
                  <c:v>3118</c:v>
                </c:pt>
                <c:pt idx="4">
                  <c:v>3014</c:v>
                </c:pt>
                <c:pt idx="5">
                  <c:v>2945</c:v>
                </c:pt>
              </c:numCache>
            </c:numRef>
          </c:val>
          <c:smooth val="0"/>
          <c:extLst>
            <c:ext xmlns:c16="http://schemas.microsoft.com/office/drawing/2014/chart" uri="{C3380CC4-5D6E-409C-BE32-E72D297353CC}">
              <c16:uniqueId val="{00000001-AA18-4A4F-8E1C-DD7232696F28}"/>
            </c:ext>
          </c:extLst>
        </c:ser>
        <c:ser>
          <c:idx val="2"/>
          <c:order val="2"/>
          <c:tx>
            <c:strRef>
              <c:f>'Struktuur 2017'!$A$47</c:f>
              <c:strCache>
                <c:ptCount val="1"/>
                <c:pt idx="0">
                  <c:v>Sonda vald</c:v>
                </c:pt>
              </c:strCache>
            </c:strRef>
          </c:tx>
          <c:spPr>
            <a:ln w="28575" cap="rnd">
              <a:solidFill>
                <a:schemeClr val="accent3"/>
              </a:solidFill>
              <a:round/>
            </a:ln>
            <a:effectLst/>
          </c:spPr>
          <c:marker>
            <c:symbol val="none"/>
          </c:marker>
          <c:dLbls>
            <c:dLbl>
              <c:idx val="0"/>
              <c:layout>
                <c:manualLayout>
                  <c:x val="-1.54320987654321E-2"/>
                  <c:y val="-5.2742616033755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18-4A4F-8E1C-DD7232696F2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18-4A4F-8E1C-DD7232696F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'Struktuur 2017'!$B$44:$G$44</c:f>
              <c:numCache>
                <c:formatCode>General</c:formatCode>
                <c:ptCount val="6"/>
                <c:pt idx="0">
                  <c:v>2012</c:v>
                </c:pt>
                <c:pt idx="1">
                  <c:v>2013</c:v>
                </c:pt>
                <c:pt idx="2">
                  <c:v>2014</c:v>
                </c:pt>
                <c:pt idx="3">
                  <c:v>2015</c:v>
                </c:pt>
                <c:pt idx="4">
                  <c:v>2016</c:v>
                </c:pt>
                <c:pt idx="5">
                  <c:v>2017</c:v>
                </c:pt>
              </c:numCache>
            </c:numRef>
          </c:cat>
          <c:val>
            <c:numRef>
              <c:f>'Struktuur 2017'!$B$47:$G$47</c:f>
              <c:numCache>
                <c:formatCode>General</c:formatCode>
                <c:ptCount val="6"/>
                <c:pt idx="0">
                  <c:v>948</c:v>
                </c:pt>
                <c:pt idx="1">
                  <c:v>913</c:v>
                </c:pt>
                <c:pt idx="2">
                  <c:v>913</c:v>
                </c:pt>
                <c:pt idx="3">
                  <c:v>889</c:v>
                </c:pt>
                <c:pt idx="4">
                  <c:v>866</c:v>
                </c:pt>
                <c:pt idx="5">
                  <c:v>863</c:v>
                </c:pt>
              </c:numCache>
            </c:numRef>
          </c:val>
          <c:smooth val="0"/>
          <c:extLst>
            <c:ext xmlns:c16="http://schemas.microsoft.com/office/drawing/2014/chart" uri="{C3380CC4-5D6E-409C-BE32-E72D297353CC}">
              <c16:uniqueId val="{00000002-AA18-4A4F-8E1C-DD7232696F28}"/>
            </c:ext>
          </c:extLst>
        </c:ser>
        <c:dLbls>
          <c:showLegendKey val="0"/>
          <c:showVal val="0"/>
          <c:showCatName val="0"/>
          <c:showSerName val="0"/>
          <c:showPercent val="0"/>
          <c:showBubbleSize val="0"/>
        </c:dLbls>
        <c:smooth val="0"/>
        <c:axId val="2120567992"/>
        <c:axId val="2121216152"/>
      </c:lineChart>
      <c:catAx>
        <c:axId val="212056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1216152"/>
        <c:crosses val="autoZero"/>
        <c:auto val="1"/>
        <c:lblAlgn val="ctr"/>
        <c:lblOffset val="100"/>
        <c:noMultiLvlLbl val="0"/>
      </c:catAx>
      <c:valAx>
        <c:axId val="212121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0567992"/>
        <c:crosses val="autoZero"/>
        <c:crossBetween val="between"/>
      </c:valAx>
      <c:spPr>
        <a:noFill/>
        <a:ln>
          <a:noFill/>
        </a:ln>
        <a:effectLst/>
      </c:spPr>
    </c:plotArea>
    <c:legend>
      <c:legendPos val="r"/>
      <c:layout>
        <c:manualLayout>
          <c:xMode val="edge"/>
          <c:yMode val="edge"/>
          <c:x val="0.84134934522073601"/>
          <c:y val="0.15030890548088899"/>
          <c:w val="0.148940757405324"/>
          <c:h val="0.58278095216674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'Rahvaarvu prognoos'!$B$52</c:f>
              <c:strCache>
                <c:ptCount val="1"/>
                <c:pt idx="0">
                  <c:v>Kiviõli prk baas</c:v>
                </c:pt>
              </c:strCache>
            </c:strRef>
          </c:tx>
          <c:spPr>
            <a:solidFill>
              <a:schemeClr val="accent1"/>
            </a:solidFill>
            <a:ln>
              <a:noFill/>
            </a:ln>
            <a:effectLst/>
          </c:spPr>
          <c:invertIfNegative val="0"/>
          <c:cat>
            <c:numRef>
              <c:f>'Rahvaarvu prognoos'!$C$51:$AI$51</c:f>
              <c:numCache>
                <c:formatCode>General</c:formatCode>
                <c:ptCount val="3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numCache>
            </c:numRef>
          </c:cat>
          <c:val>
            <c:numRef>
              <c:f>'Rahvaarvu prognoos'!$C$52:$AI$52</c:f>
              <c:numCache>
                <c:formatCode>General</c:formatCode>
                <c:ptCount val="33"/>
                <c:pt idx="0">
                  <c:v>9116</c:v>
                </c:pt>
                <c:pt idx="1">
                  <c:v>9015</c:v>
                </c:pt>
                <c:pt idx="2">
                  <c:v>8914</c:v>
                </c:pt>
                <c:pt idx="3">
                  <c:v>8812</c:v>
                </c:pt>
                <c:pt idx="4">
                  <c:v>8709</c:v>
                </c:pt>
                <c:pt idx="5">
                  <c:v>8606</c:v>
                </c:pt>
                <c:pt idx="6">
                  <c:v>8505</c:v>
                </c:pt>
                <c:pt idx="7">
                  <c:v>8405</c:v>
                </c:pt>
                <c:pt idx="8">
                  <c:v>8307</c:v>
                </c:pt>
                <c:pt idx="9">
                  <c:v>8209</c:v>
                </c:pt>
                <c:pt idx="10">
                  <c:v>8111</c:v>
                </c:pt>
                <c:pt idx="11">
                  <c:v>8011</c:v>
                </c:pt>
                <c:pt idx="12">
                  <c:v>7910</c:v>
                </c:pt>
                <c:pt idx="13">
                  <c:v>7808</c:v>
                </c:pt>
                <c:pt idx="14">
                  <c:v>7705</c:v>
                </c:pt>
                <c:pt idx="15">
                  <c:v>7600</c:v>
                </c:pt>
                <c:pt idx="16">
                  <c:v>7493</c:v>
                </c:pt>
                <c:pt idx="17">
                  <c:v>7386</c:v>
                </c:pt>
                <c:pt idx="18">
                  <c:v>7281</c:v>
                </c:pt>
                <c:pt idx="19">
                  <c:v>7175</c:v>
                </c:pt>
                <c:pt idx="20">
                  <c:v>7067</c:v>
                </c:pt>
                <c:pt idx="21">
                  <c:v>6959</c:v>
                </c:pt>
                <c:pt idx="22">
                  <c:v>6851</c:v>
                </c:pt>
                <c:pt idx="23">
                  <c:v>6744</c:v>
                </c:pt>
                <c:pt idx="24">
                  <c:v>6638</c:v>
                </c:pt>
                <c:pt idx="25">
                  <c:v>6531</c:v>
                </c:pt>
                <c:pt idx="26">
                  <c:v>6426</c:v>
                </c:pt>
                <c:pt idx="27">
                  <c:v>6322</c:v>
                </c:pt>
                <c:pt idx="28">
                  <c:v>6221</c:v>
                </c:pt>
                <c:pt idx="29">
                  <c:v>6123</c:v>
                </c:pt>
                <c:pt idx="30">
                  <c:v>6027</c:v>
                </c:pt>
                <c:pt idx="31">
                  <c:v>5933</c:v>
                </c:pt>
                <c:pt idx="32">
                  <c:v>5840</c:v>
                </c:pt>
              </c:numCache>
            </c:numRef>
          </c:val>
          <c:extLst>
            <c:ext xmlns:c16="http://schemas.microsoft.com/office/drawing/2014/chart" uri="{C3380CC4-5D6E-409C-BE32-E72D297353CC}">
              <c16:uniqueId val="{00000000-339D-4659-AA3A-A025E53D93A8}"/>
            </c:ext>
          </c:extLst>
        </c:ser>
        <c:dLbls>
          <c:showLegendKey val="0"/>
          <c:showVal val="0"/>
          <c:showCatName val="0"/>
          <c:showSerName val="0"/>
          <c:showPercent val="0"/>
          <c:showBubbleSize val="0"/>
        </c:dLbls>
        <c:gapWidth val="219"/>
        <c:axId val="2118324568"/>
        <c:axId val="-2117424088"/>
      </c:barChart>
      <c:lineChart>
        <c:grouping val="standard"/>
        <c:varyColors val="0"/>
        <c:ser>
          <c:idx val="1"/>
          <c:order val="1"/>
          <c:tx>
            <c:strRef>
              <c:f>'Rahvaarvu prognoos'!$B$53</c:f>
              <c:strCache>
                <c:ptCount val="1"/>
                <c:pt idx="0">
                  <c:v>Kiviõli prk rände</c:v>
                </c:pt>
              </c:strCache>
            </c:strRef>
          </c:tx>
          <c:spPr>
            <a:ln w="28575" cap="rnd">
              <a:solidFill>
                <a:schemeClr val="accent2"/>
              </a:solidFill>
              <a:round/>
            </a:ln>
            <a:effectLst/>
          </c:spPr>
          <c:marker>
            <c:symbol val="none"/>
          </c:marker>
          <c:cat>
            <c:numRef>
              <c:f>'Rahvaarvu prognoos'!$C$51:$AI$51</c:f>
              <c:numCache>
                <c:formatCode>General</c:formatCode>
                <c:ptCount val="3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pt idx="29">
                  <c:v>2046</c:v>
                </c:pt>
                <c:pt idx="30">
                  <c:v>2047</c:v>
                </c:pt>
                <c:pt idx="31">
                  <c:v>2048</c:v>
                </c:pt>
                <c:pt idx="32">
                  <c:v>2049</c:v>
                </c:pt>
              </c:numCache>
            </c:numRef>
          </c:cat>
          <c:val>
            <c:numRef>
              <c:f>'Rahvaarvu prognoos'!$C$53:$AI$53</c:f>
              <c:numCache>
                <c:formatCode>General</c:formatCode>
                <c:ptCount val="33"/>
                <c:pt idx="0">
                  <c:v>9116</c:v>
                </c:pt>
                <c:pt idx="1">
                  <c:v>8898</c:v>
                </c:pt>
                <c:pt idx="2">
                  <c:v>8690</c:v>
                </c:pt>
                <c:pt idx="3">
                  <c:v>8490</c:v>
                </c:pt>
                <c:pt idx="4">
                  <c:v>8299</c:v>
                </c:pt>
                <c:pt idx="5">
                  <c:v>8118</c:v>
                </c:pt>
                <c:pt idx="6">
                  <c:v>7949</c:v>
                </c:pt>
                <c:pt idx="7">
                  <c:v>7789</c:v>
                </c:pt>
                <c:pt idx="8">
                  <c:v>7641</c:v>
                </c:pt>
                <c:pt idx="9">
                  <c:v>7501</c:v>
                </c:pt>
                <c:pt idx="10">
                  <c:v>7371</c:v>
                </c:pt>
                <c:pt idx="11">
                  <c:v>7250</c:v>
                </c:pt>
                <c:pt idx="12">
                  <c:v>7136</c:v>
                </c:pt>
                <c:pt idx="13">
                  <c:v>7031</c:v>
                </c:pt>
                <c:pt idx="14">
                  <c:v>6934</c:v>
                </c:pt>
                <c:pt idx="15">
                  <c:v>6836</c:v>
                </c:pt>
                <c:pt idx="16">
                  <c:v>6738</c:v>
                </c:pt>
                <c:pt idx="17">
                  <c:v>6641</c:v>
                </c:pt>
                <c:pt idx="18">
                  <c:v>6546</c:v>
                </c:pt>
                <c:pt idx="19">
                  <c:v>6452</c:v>
                </c:pt>
                <c:pt idx="20">
                  <c:v>6357</c:v>
                </c:pt>
                <c:pt idx="21">
                  <c:v>6262</c:v>
                </c:pt>
                <c:pt idx="22">
                  <c:v>6168</c:v>
                </c:pt>
                <c:pt idx="23">
                  <c:v>6074</c:v>
                </c:pt>
                <c:pt idx="24">
                  <c:v>5982</c:v>
                </c:pt>
                <c:pt idx="25">
                  <c:v>5889</c:v>
                </c:pt>
                <c:pt idx="26">
                  <c:v>5798</c:v>
                </c:pt>
                <c:pt idx="27">
                  <c:v>5708</c:v>
                </c:pt>
                <c:pt idx="28">
                  <c:v>5621</c:v>
                </c:pt>
                <c:pt idx="29">
                  <c:v>5536</c:v>
                </c:pt>
                <c:pt idx="30">
                  <c:v>5453</c:v>
                </c:pt>
                <c:pt idx="31">
                  <c:v>5373</c:v>
                </c:pt>
                <c:pt idx="32">
                  <c:v>5294</c:v>
                </c:pt>
              </c:numCache>
            </c:numRef>
          </c:val>
          <c:smooth val="0"/>
          <c:extLst>
            <c:ext xmlns:c16="http://schemas.microsoft.com/office/drawing/2014/chart" uri="{C3380CC4-5D6E-409C-BE32-E72D297353CC}">
              <c16:uniqueId val="{00000001-339D-4659-AA3A-A025E53D93A8}"/>
            </c:ext>
          </c:extLst>
        </c:ser>
        <c:dLbls>
          <c:showLegendKey val="0"/>
          <c:showVal val="0"/>
          <c:showCatName val="0"/>
          <c:showSerName val="0"/>
          <c:showPercent val="0"/>
          <c:showBubbleSize val="0"/>
        </c:dLbls>
        <c:marker val="1"/>
        <c:smooth val="0"/>
        <c:axId val="2118324568"/>
        <c:axId val="-2117424088"/>
      </c:lineChart>
      <c:catAx>
        <c:axId val="211832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424088"/>
        <c:crosses val="autoZero"/>
        <c:auto val="1"/>
        <c:lblAlgn val="ctr"/>
        <c:lblOffset val="100"/>
        <c:noMultiLvlLbl val="0"/>
      </c:catAx>
      <c:valAx>
        <c:axId val="-2117424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324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Haridus!$D$114</c:f>
              <c:strCache>
                <c:ptCount val="1"/>
                <c:pt idx="0">
                  <c:v>Lasteaiaelaitse laste arv baas-stsenaarium</c:v>
                </c:pt>
              </c:strCache>
            </c:strRef>
          </c:tx>
          <c:spPr>
            <a:solidFill>
              <a:schemeClr val="accent1"/>
            </a:solidFill>
            <a:ln>
              <a:noFill/>
            </a:ln>
            <a:effectLst/>
          </c:spPr>
          <c:invertIfNegative val="0"/>
          <c:cat>
            <c:strRef>
              <c:f>Haridus!$E$113:$AK$113</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Haridus!$E$114:$AK$114</c:f>
              <c:numCache>
                <c:formatCode>0</c:formatCode>
                <c:ptCount val="33"/>
                <c:pt idx="0">
                  <c:v>347.5</c:v>
                </c:pt>
                <c:pt idx="1">
                  <c:v>298.53999999999991</c:v>
                </c:pt>
                <c:pt idx="2">
                  <c:v>284.92</c:v>
                </c:pt>
                <c:pt idx="3">
                  <c:v>288.16000000000008</c:v>
                </c:pt>
                <c:pt idx="4">
                  <c:v>281.16000000000003</c:v>
                </c:pt>
                <c:pt idx="5">
                  <c:v>279.32</c:v>
                </c:pt>
                <c:pt idx="6">
                  <c:v>293.89999999999998</c:v>
                </c:pt>
                <c:pt idx="7">
                  <c:v>296.36</c:v>
                </c:pt>
                <c:pt idx="8">
                  <c:v>295.10000000000002</c:v>
                </c:pt>
                <c:pt idx="9">
                  <c:v>296.04000000000002</c:v>
                </c:pt>
                <c:pt idx="10">
                  <c:v>294.84000000000009</c:v>
                </c:pt>
                <c:pt idx="11">
                  <c:v>294.84000000000009</c:v>
                </c:pt>
                <c:pt idx="12">
                  <c:v>294.84000000000009</c:v>
                </c:pt>
                <c:pt idx="13">
                  <c:v>294.84000000000009</c:v>
                </c:pt>
                <c:pt idx="14">
                  <c:v>294.84000000000009</c:v>
                </c:pt>
                <c:pt idx="15">
                  <c:v>293.64</c:v>
                </c:pt>
                <c:pt idx="16">
                  <c:v>292.64</c:v>
                </c:pt>
                <c:pt idx="17">
                  <c:v>290.44</c:v>
                </c:pt>
                <c:pt idx="18">
                  <c:v>288.44</c:v>
                </c:pt>
                <c:pt idx="19">
                  <c:v>283.24</c:v>
                </c:pt>
                <c:pt idx="20">
                  <c:v>279.77999999999997</c:v>
                </c:pt>
                <c:pt idx="21">
                  <c:v>276.32</c:v>
                </c:pt>
                <c:pt idx="22">
                  <c:v>272.12</c:v>
                </c:pt>
                <c:pt idx="23">
                  <c:v>267.66000000000003</c:v>
                </c:pt>
                <c:pt idx="24">
                  <c:v>262.45999999999992</c:v>
                </c:pt>
                <c:pt idx="25">
                  <c:v>256</c:v>
                </c:pt>
                <c:pt idx="26">
                  <c:v>250.54</c:v>
                </c:pt>
                <c:pt idx="27">
                  <c:v>245.82</c:v>
                </c:pt>
                <c:pt idx="28">
                  <c:v>239.62</c:v>
                </c:pt>
                <c:pt idx="29">
                  <c:v>234.16</c:v>
                </c:pt>
                <c:pt idx="30">
                  <c:v>229.9</c:v>
                </c:pt>
                <c:pt idx="31">
                  <c:v>225.44</c:v>
                </c:pt>
                <c:pt idx="32">
                  <c:v>220.71999999999991</c:v>
                </c:pt>
              </c:numCache>
            </c:numRef>
          </c:val>
          <c:extLst>
            <c:ext xmlns:c16="http://schemas.microsoft.com/office/drawing/2014/chart" uri="{C3380CC4-5D6E-409C-BE32-E72D297353CC}">
              <c16:uniqueId val="{00000000-52A2-4237-8E13-B9EB414E000D}"/>
            </c:ext>
          </c:extLst>
        </c:ser>
        <c:dLbls>
          <c:showLegendKey val="0"/>
          <c:showVal val="0"/>
          <c:showCatName val="0"/>
          <c:showSerName val="0"/>
          <c:showPercent val="0"/>
          <c:showBubbleSize val="0"/>
        </c:dLbls>
        <c:gapWidth val="100"/>
        <c:axId val="2118447480"/>
        <c:axId val="2118444456"/>
      </c:barChart>
      <c:lineChart>
        <c:grouping val="standard"/>
        <c:varyColors val="0"/>
        <c:ser>
          <c:idx val="1"/>
          <c:order val="1"/>
          <c:tx>
            <c:strRef>
              <c:f>Haridus!$D$115</c:f>
              <c:strCache>
                <c:ptCount val="1"/>
                <c:pt idx="0">
                  <c:v>Lasteaiaelaitse laste arv rände-stsenaarium</c:v>
                </c:pt>
              </c:strCache>
            </c:strRef>
          </c:tx>
          <c:spPr>
            <a:ln w="38100" cap="rnd">
              <a:solidFill>
                <a:srgbClr val="FF0000"/>
              </a:solidFill>
              <a:round/>
            </a:ln>
            <a:effectLst/>
          </c:spPr>
          <c:marker>
            <c:symbol val="none"/>
          </c:marker>
          <c:cat>
            <c:strRef>
              <c:f>Haridus!$E$113:$AK$113</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Haridus!$E$115:$AK$115</c:f>
              <c:numCache>
                <c:formatCode>0</c:formatCode>
                <c:ptCount val="33"/>
                <c:pt idx="0">
                  <c:v>347.5</c:v>
                </c:pt>
                <c:pt idx="1">
                  <c:v>288.88</c:v>
                </c:pt>
                <c:pt idx="2">
                  <c:v>270</c:v>
                </c:pt>
                <c:pt idx="3">
                  <c:v>266.32</c:v>
                </c:pt>
                <c:pt idx="4">
                  <c:v>251.66</c:v>
                </c:pt>
                <c:pt idx="5">
                  <c:v>245.56</c:v>
                </c:pt>
                <c:pt idx="6">
                  <c:v>254.68</c:v>
                </c:pt>
                <c:pt idx="7">
                  <c:v>254.94</c:v>
                </c:pt>
                <c:pt idx="8">
                  <c:v>247.21999999999991</c:v>
                </c:pt>
                <c:pt idx="9">
                  <c:v>243.96</c:v>
                </c:pt>
                <c:pt idx="10">
                  <c:v>240.24</c:v>
                </c:pt>
                <c:pt idx="11">
                  <c:v>240.24</c:v>
                </c:pt>
                <c:pt idx="12">
                  <c:v>236.98</c:v>
                </c:pt>
                <c:pt idx="13">
                  <c:v>238.18</c:v>
                </c:pt>
                <c:pt idx="14">
                  <c:v>239.18</c:v>
                </c:pt>
                <c:pt idx="15">
                  <c:v>242.38</c:v>
                </c:pt>
                <c:pt idx="16">
                  <c:v>245.38</c:v>
                </c:pt>
                <c:pt idx="17">
                  <c:v>248.84</c:v>
                </c:pt>
                <c:pt idx="18">
                  <c:v>250.84</c:v>
                </c:pt>
                <c:pt idx="19">
                  <c:v>253.1</c:v>
                </c:pt>
                <c:pt idx="20">
                  <c:v>254.36</c:v>
                </c:pt>
                <c:pt idx="21">
                  <c:v>254.16</c:v>
                </c:pt>
                <c:pt idx="22">
                  <c:v>254.16</c:v>
                </c:pt>
                <c:pt idx="23">
                  <c:v>252.22</c:v>
                </c:pt>
                <c:pt idx="24">
                  <c:v>249.22</c:v>
                </c:pt>
                <c:pt idx="25">
                  <c:v>246.02</c:v>
                </c:pt>
                <c:pt idx="26">
                  <c:v>242.56</c:v>
                </c:pt>
                <c:pt idx="27">
                  <c:v>237.9</c:v>
                </c:pt>
                <c:pt idx="28">
                  <c:v>232.7</c:v>
                </c:pt>
                <c:pt idx="29">
                  <c:v>227.7</c:v>
                </c:pt>
                <c:pt idx="30">
                  <c:v>222.24</c:v>
                </c:pt>
                <c:pt idx="31">
                  <c:v>216.77999999999989</c:v>
                </c:pt>
                <c:pt idx="32">
                  <c:v>212.06</c:v>
                </c:pt>
              </c:numCache>
            </c:numRef>
          </c:val>
          <c:smooth val="0"/>
          <c:extLst>
            <c:ext xmlns:c16="http://schemas.microsoft.com/office/drawing/2014/chart" uri="{C3380CC4-5D6E-409C-BE32-E72D297353CC}">
              <c16:uniqueId val="{00000001-52A2-4237-8E13-B9EB414E000D}"/>
            </c:ext>
          </c:extLst>
        </c:ser>
        <c:ser>
          <c:idx val="2"/>
          <c:order val="2"/>
          <c:tx>
            <c:strRef>
              <c:f>Haridus!$D$116</c:f>
              <c:strCache>
                <c:ptCount val="1"/>
                <c:pt idx="0">
                  <c:v>Lasteaiakohtade arv</c:v>
                </c:pt>
              </c:strCache>
            </c:strRef>
          </c:tx>
          <c:spPr>
            <a:ln w="28575" cap="rnd">
              <a:solidFill>
                <a:schemeClr val="accent3"/>
              </a:solidFill>
              <a:round/>
            </a:ln>
            <a:effectLst/>
          </c:spPr>
          <c:marker>
            <c:symbol val="none"/>
          </c:marker>
          <c:cat>
            <c:strRef>
              <c:f>Haridus!$E$113:$AK$113</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Haridus!$E$116:$AK$116</c:f>
            </c:numRef>
          </c:val>
          <c:smooth val="0"/>
          <c:extLst>
            <c:ext xmlns:c16="http://schemas.microsoft.com/office/drawing/2014/chart" uri="{C3380CC4-5D6E-409C-BE32-E72D297353CC}">
              <c16:uniqueId val="{00000002-52A2-4237-8E13-B9EB414E000D}"/>
            </c:ext>
          </c:extLst>
        </c:ser>
        <c:ser>
          <c:idx val="3"/>
          <c:order val="3"/>
          <c:tx>
            <c:strRef>
              <c:f>Haridus!$D$117</c:f>
              <c:strCache>
                <c:ptCount val="1"/>
                <c:pt idx="0">
                  <c:v>Lasteaia laste arv osalusega 85%</c:v>
                </c:pt>
              </c:strCache>
            </c:strRef>
          </c:tx>
          <c:spPr>
            <a:ln w="28575" cap="rnd">
              <a:solidFill>
                <a:schemeClr val="accent4"/>
              </a:solidFill>
              <a:round/>
            </a:ln>
            <a:effectLst/>
          </c:spPr>
          <c:marker>
            <c:symbol val="none"/>
          </c:marker>
          <c:cat>
            <c:strRef>
              <c:f>Haridus!$E$113:$AK$113</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Haridus!$E$117:$AK$117</c:f>
              <c:numCache>
                <c:formatCode>General</c:formatCode>
                <c:ptCount val="33"/>
                <c:pt idx="0">
                  <c:v>295.375</c:v>
                </c:pt>
                <c:pt idx="1">
                  <c:v>245.548</c:v>
                </c:pt>
                <c:pt idx="2">
                  <c:v>229.5</c:v>
                </c:pt>
                <c:pt idx="3">
                  <c:v>226.37200000000001</c:v>
                </c:pt>
                <c:pt idx="4">
                  <c:v>213.911</c:v>
                </c:pt>
                <c:pt idx="5">
                  <c:v>208.726</c:v>
                </c:pt>
                <c:pt idx="6">
                  <c:v>216.47800000000001</c:v>
                </c:pt>
                <c:pt idx="7">
                  <c:v>216.69900000000001</c:v>
                </c:pt>
                <c:pt idx="8">
                  <c:v>210.137</c:v>
                </c:pt>
                <c:pt idx="9">
                  <c:v>207.36600000000001</c:v>
                </c:pt>
                <c:pt idx="10">
                  <c:v>204.20400000000001</c:v>
                </c:pt>
                <c:pt idx="11">
                  <c:v>204.20400000000001</c:v>
                </c:pt>
                <c:pt idx="12">
                  <c:v>201.43299999999999</c:v>
                </c:pt>
                <c:pt idx="13">
                  <c:v>202.453</c:v>
                </c:pt>
                <c:pt idx="14">
                  <c:v>203.303</c:v>
                </c:pt>
                <c:pt idx="15">
                  <c:v>206.023</c:v>
                </c:pt>
                <c:pt idx="16">
                  <c:v>208.57300000000001</c:v>
                </c:pt>
                <c:pt idx="17">
                  <c:v>211.51400000000001</c:v>
                </c:pt>
                <c:pt idx="18">
                  <c:v>213.214</c:v>
                </c:pt>
                <c:pt idx="19">
                  <c:v>215.13499999999999</c:v>
                </c:pt>
                <c:pt idx="20">
                  <c:v>216.20599999999999</c:v>
                </c:pt>
                <c:pt idx="21">
                  <c:v>216.036</c:v>
                </c:pt>
                <c:pt idx="22">
                  <c:v>216.036</c:v>
                </c:pt>
                <c:pt idx="23">
                  <c:v>214.387</c:v>
                </c:pt>
                <c:pt idx="24">
                  <c:v>211.83699999999999</c:v>
                </c:pt>
                <c:pt idx="25">
                  <c:v>209.11699999999999</c:v>
                </c:pt>
                <c:pt idx="26">
                  <c:v>206.17599999999999</c:v>
                </c:pt>
                <c:pt idx="27">
                  <c:v>202.215</c:v>
                </c:pt>
                <c:pt idx="28">
                  <c:v>197.79499999999999</c:v>
                </c:pt>
                <c:pt idx="29">
                  <c:v>193.54499999999999</c:v>
                </c:pt>
                <c:pt idx="30">
                  <c:v>188.904</c:v>
                </c:pt>
                <c:pt idx="31">
                  <c:v>184.26300000000001</c:v>
                </c:pt>
                <c:pt idx="32">
                  <c:v>180.251</c:v>
                </c:pt>
              </c:numCache>
            </c:numRef>
          </c:val>
          <c:smooth val="0"/>
          <c:extLst>
            <c:ext xmlns:c16="http://schemas.microsoft.com/office/drawing/2014/chart" uri="{C3380CC4-5D6E-409C-BE32-E72D297353CC}">
              <c16:uniqueId val="{00000003-52A2-4237-8E13-B9EB414E000D}"/>
            </c:ext>
          </c:extLst>
        </c:ser>
        <c:dLbls>
          <c:showLegendKey val="0"/>
          <c:showVal val="0"/>
          <c:showCatName val="0"/>
          <c:showSerName val="0"/>
          <c:showPercent val="0"/>
          <c:showBubbleSize val="0"/>
        </c:dLbls>
        <c:marker val="1"/>
        <c:smooth val="0"/>
        <c:axId val="2118447480"/>
        <c:axId val="2118444456"/>
      </c:lineChart>
      <c:catAx>
        <c:axId val="211844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8444456"/>
        <c:crosses val="autoZero"/>
        <c:auto val="1"/>
        <c:lblAlgn val="ctr"/>
        <c:lblOffset val="100"/>
        <c:noMultiLvlLbl val="0"/>
      </c:catAx>
      <c:valAx>
        <c:axId val="2118444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844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Haridus!$D$149</c:f>
              <c:strCache>
                <c:ptCount val="1"/>
                <c:pt idx="0">
                  <c:v>Põhikooliealiste laste arv  baas-stsenaarium</c:v>
                </c:pt>
              </c:strCache>
            </c:strRef>
          </c:tx>
          <c:spPr>
            <a:solidFill>
              <a:schemeClr val="accent1"/>
            </a:solidFill>
            <a:ln>
              <a:noFill/>
            </a:ln>
            <a:effectLst/>
          </c:spPr>
          <c:invertIfNegative val="0"/>
          <c:cat>
            <c:strRef>
              <c:f>Haridus!$E$148:$AK$148</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Haridus!$E$149:$AK$149</c:f>
              <c:numCache>
                <c:formatCode>0</c:formatCode>
                <c:ptCount val="33"/>
                <c:pt idx="0">
                  <c:v>690.74</c:v>
                </c:pt>
                <c:pt idx="1">
                  <c:v>688.78</c:v>
                </c:pt>
                <c:pt idx="2">
                  <c:v>681.33999999999992</c:v>
                </c:pt>
                <c:pt idx="3">
                  <c:v>652.3599999999999</c:v>
                </c:pt>
                <c:pt idx="4">
                  <c:v>630.41999999999973</c:v>
                </c:pt>
                <c:pt idx="5">
                  <c:v>606.02</c:v>
                </c:pt>
                <c:pt idx="6">
                  <c:v>579.76</c:v>
                </c:pt>
                <c:pt idx="7">
                  <c:v>562.64</c:v>
                </c:pt>
                <c:pt idx="8">
                  <c:v>549.38</c:v>
                </c:pt>
                <c:pt idx="9">
                  <c:v>523.05999999999983</c:v>
                </c:pt>
                <c:pt idx="10">
                  <c:v>495.5</c:v>
                </c:pt>
                <c:pt idx="11">
                  <c:v>475.68</c:v>
                </c:pt>
                <c:pt idx="12">
                  <c:v>475.92</c:v>
                </c:pt>
                <c:pt idx="13">
                  <c:v>468.86</c:v>
                </c:pt>
                <c:pt idx="14">
                  <c:v>468.22</c:v>
                </c:pt>
                <c:pt idx="15">
                  <c:v>482.8</c:v>
                </c:pt>
                <c:pt idx="16">
                  <c:v>487.26</c:v>
                </c:pt>
                <c:pt idx="17">
                  <c:v>486.26</c:v>
                </c:pt>
                <c:pt idx="18">
                  <c:v>486</c:v>
                </c:pt>
                <c:pt idx="19">
                  <c:v>484</c:v>
                </c:pt>
                <c:pt idx="20">
                  <c:v>484</c:v>
                </c:pt>
                <c:pt idx="21">
                  <c:v>481.52</c:v>
                </c:pt>
                <c:pt idx="22">
                  <c:v>478.52</c:v>
                </c:pt>
                <c:pt idx="23">
                  <c:v>475.78</c:v>
                </c:pt>
                <c:pt idx="24">
                  <c:v>472.78</c:v>
                </c:pt>
                <c:pt idx="25">
                  <c:v>469.03999999999991</c:v>
                </c:pt>
                <c:pt idx="26">
                  <c:v>465.03999999999991</c:v>
                </c:pt>
                <c:pt idx="27">
                  <c:v>459.56</c:v>
                </c:pt>
                <c:pt idx="28">
                  <c:v>453.56</c:v>
                </c:pt>
                <c:pt idx="29">
                  <c:v>446.81999999999988</c:v>
                </c:pt>
                <c:pt idx="30">
                  <c:v>439.82</c:v>
                </c:pt>
                <c:pt idx="31">
                  <c:v>431.82</c:v>
                </c:pt>
                <c:pt idx="32">
                  <c:v>423.34</c:v>
                </c:pt>
              </c:numCache>
            </c:numRef>
          </c:val>
          <c:extLst>
            <c:ext xmlns:c16="http://schemas.microsoft.com/office/drawing/2014/chart" uri="{C3380CC4-5D6E-409C-BE32-E72D297353CC}">
              <c16:uniqueId val="{00000000-B7FB-4786-8F4A-A030063C5392}"/>
            </c:ext>
          </c:extLst>
        </c:ser>
        <c:dLbls>
          <c:showLegendKey val="0"/>
          <c:showVal val="0"/>
          <c:showCatName val="0"/>
          <c:showSerName val="0"/>
          <c:showPercent val="0"/>
          <c:showBubbleSize val="0"/>
        </c:dLbls>
        <c:gapWidth val="100"/>
        <c:axId val="-2115438872"/>
        <c:axId val="-2119134184"/>
      </c:barChart>
      <c:lineChart>
        <c:grouping val="standard"/>
        <c:varyColors val="0"/>
        <c:ser>
          <c:idx val="1"/>
          <c:order val="1"/>
          <c:tx>
            <c:strRef>
              <c:f>Haridus!$D$150</c:f>
              <c:strCache>
                <c:ptCount val="1"/>
                <c:pt idx="0">
                  <c:v>Põhikooliealiste laste arv rände-stsenaarium</c:v>
                </c:pt>
              </c:strCache>
            </c:strRef>
          </c:tx>
          <c:spPr>
            <a:ln w="38100" cap="rnd">
              <a:solidFill>
                <a:srgbClr val="FF0000"/>
              </a:solidFill>
              <a:round/>
            </a:ln>
            <a:effectLst/>
          </c:spPr>
          <c:marker>
            <c:symbol val="none"/>
          </c:marker>
          <c:cat>
            <c:strRef>
              <c:f>Haridus!$E$148:$AK$148</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Haridus!$E$150:$AK$150</c:f>
              <c:numCache>
                <c:formatCode>0</c:formatCode>
                <c:ptCount val="33"/>
                <c:pt idx="0">
                  <c:v>690.74</c:v>
                </c:pt>
                <c:pt idx="1">
                  <c:v>679.78</c:v>
                </c:pt>
                <c:pt idx="2">
                  <c:v>668.6</c:v>
                </c:pt>
                <c:pt idx="3">
                  <c:v>631.88</c:v>
                </c:pt>
                <c:pt idx="4">
                  <c:v>602.93999999999994</c:v>
                </c:pt>
                <c:pt idx="5">
                  <c:v>572.79999999999995</c:v>
                </c:pt>
                <c:pt idx="6">
                  <c:v>539.79999999999995</c:v>
                </c:pt>
                <c:pt idx="7">
                  <c:v>514.41999999999996</c:v>
                </c:pt>
                <c:pt idx="8">
                  <c:v>494.4199999999999</c:v>
                </c:pt>
                <c:pt idx="9">
                  <c:v>462.09999999999991</c:v>
                </c:pt>
                <c:pt idx="10">
                  <c:v>428.7999999999999</c:v>
                </c:pt>
                <c:pt idx="11">
                  <c:v>403.9799999999999</c:v>
                </c:pt>
                <c:pt idx="12">
                  <c:v>400.22</c:v>
                </c:pt>
                <c:pt idx="13">
                  <c:v>388.16</c:v>
                </c:pt>
                <c:pt idx="14">
                  <c:v>383.26</c:v>
                </c:pt>
                <c:pt idx="15">
                  <c:v>394.84</c:v>
                </c:pt>
                <c:pt idx="16">
                  <c:v>395.2999999999999</c:v>
                </c:pt>
                <c:pt idx="17">
                  <c:v>392.52</c:v>
                </c:pt>
                <c:pt idx="18">
                  <c:v>391.26</c:v>
                </c:pt>
                <c:pt idx="19">
                  <c:v>391.74</c:v>
                </c:pt>
                <c:pt idx="20">
                  <c:v>393.48</c:v>
                </c:pt>
                <c:pt idx="21">
                  <c:v>396.22</c:v>
                </c:pt>
                <c:pt idx="22">
                  <c:v>399.22</c:v>
                </c:pt>
                <c:pt idx="23">
                  <c:v>402.96</c:v>
                </c:pt>
                <c:pt idx="24">
                  <c:v>406.96</c:v>
                </c:pt>
                <c:pt idx="25">
                  <c:v>410.96</c:v>
                </c:pt>
                <c:pt idx="26">
                  <c:v>413.48</c:v>
                </c:pt>
                <c:pt idx="27">
                  <c:v>414.74</c:v>
                </c:pt>
                <c:pt idx="28">
                  <c:v>415</c:v>
                </c:pt>
                <c:pt idx="29">
                  <c:v>414.26</c:v>
                </c:pt>
                <c:pt idx="30">
                  <c:v>412.52</c:v>
                </c:pt>
                <c:pt idx="31">
                  <c:v>409.78</c:v>
                </c:pt>
                <c:pt idx="32">
                  <c:v>404.56</c:v>
                </c:pt>
              </c:numCache>
            </c:numRef>
          </c:val>
          <c:smooth val="0"/>
          <c:extLst>
            <c:ext xmlns:c16="http://schemas.microsoft.com/office/drawing/2014/chart" uri="{C3380CC4-5D6E-409C-BE32-E72D297353CC}">
              <c16:uniqueId val="{00000001-B7FB-4786-8F4A-A030063C5392}"/>
            </c:ext>
          </c:extLst>
        </c:ser>
        <c:ser>
          <c:idx val="2"/>
          <c:order val="2"/>
          <c:tx>
            <c:strRef>
              <c:f>Haridus!$D$151</c:f>
              <c:strCache>
                <c:ptCount val="1"/>
                <c:pt idx="0">
                  <c:v>Koolikohtade arv</c:v>
                </c:pt>
              </c:strCache>
            </c:strRef>
          </c:tx>
          <c:spPr>
            <a:ln w="28575" cap="rnd">
              <a:solidFill>
                <a:schemeClr val="accent3"/>
              </a:solidFill>
              <a:round/>
            </a:ln>
            <a:effectLst/>
          </c:spPr>
          <c:marker>
            <c:symbol val="none"/>
          </c:marker>
          <c:cat>
            <c:strRef>
              <c:f>Haridus!$E$148:$AK$148</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Haridus!$E$151:$AK$151</c:f>
            </c:numRef>
          </c:val>
          <c:smooth val="0"/>
          <c:extLst>
            <c:ext xmlns:c16="http://schemas.microsoft.com/office/drawing/2014/chart" uri="{C3380CC4-5D6E-409C-BE32-E72D297353CC}">
              <c16:uniqueId val="{00000002-B7FB-4786-8F4A-A030063C5392}"/>
            </c:ext>
          </c:extLst>
        </c:ser>
        <c:ser>
          <c:idx val="3"/>
          <c:order val="3"/>
          <c:tx>
            <c:strRef>
              <c:f>Haridus!$D$152</c:f>
              <c:strCache>
                <c:ptCount val="1"/>
                <c:pt idx="0">
                  <c:v>Põhikooliõpilaste arv osalusega 90%</c:v>
                </c:pt>
              </c:strCache>
            </c:strRef>
          </c:tx>
          <c:spPr>
            <a:ln w="28575" cap="rnd">
              <a:solidFill>
                <a:schemeClr val="accent4"/>
              </a:solidFill>
              <a:round/>
            </a:ln>
            <a:effectLst/>
          </c:spPr>
          <c:marker>
            <c:symbol val="none"/>
          </c:marker>
          <c:cat>
            <c:strRef>
              <c:f>Haridus!$E$148:$AK$148</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Haridus!$E$152:$AK$152</c:f>
              <c:numCache>
                <c:formatCode>0</c:formatCode>
                <c:ptCount val="33"/>
                <c:pt idx="0">
                  <c:v>621.66599999999994</c:v>
                </c:pt>
                <c:pt idx="1">
                  <c:v>611.80199999999991</c:v>
                </c:pt>
                <c:pt idx="2">
                  <c:v>601.74</c:v>
                </c:pt>
                <c:pt idx="3">
                  <c:v>568.69200000000001</c:v>
                </c:pt>
                <c:pt idx="4">
                  <c:v>542.64600000000007</c:v>
                </c:pt>
                <c:pt idx="5">
                  <c:v>515.52</c:v>
                </c:pt>
                <c:pt idx="6">
                  <c:v>485.82</c:v>
                </c:pt>
                <c:pt idx="7">
                  <c:v>462.97799999999989</c:v>
                </c:pt>
                <c:pt idx="8">
                  <c:v>444.97799999999989</c:v>
                </c:pt>
                <c:pt idx="9">
                  <c:v>415.89</c:v>
                </c:pt>
                <c:pt idx="10">
                  <c:v>385.9199999999999</c:v>
                </c:pt>
                <c:pt idx="11">
                  <c:v>363.58199999999988</c:v>
                </c:pt>
                <c:pt idx="12">
                  <c:v>360.19800000000009</c:v>
                </c:pt>
                <c:pt idx="13">
                  <c:v>349.34399999999999</c:v>
                </c:pt>
                <c:pt idx="14">
                  <c:v>344.93400000000003</c:v>
                </c:pt>
                <c:pt idx="15">
                  <c:v>355.35599999999999</c:v>
                </c:pt>
                <c:pt idx="16">
                  <c:v>355.77</c:v>
                </c:pt>
                <c:pt idx="17">
                  <c:v>353.26799999999992</c:v>
                </c:pt>
                <c:pt idx="18">
                  <c:v>352.13400000000001</c:v>
                </c:pt>
                <c:pt idx="19">
                  <c:v>352.56599999999997</c:v>
                </c:pt>
                <c:pt idx="20">
                  <c:v>354.13200000000001</c:v>
                </c:pt>
                <c:pt idx="21">
                  <c:v>356.59800000000001</c:v>
                </c:pt>
                <c:pt idx="22">
                  <c:v>359.298</c:v>
                </c:pt>
                <c:pt idx="23">
                  <c:v>362.6640000000001</c:v>
                </c:pt>
                <c:pt idx="24">
                  <c:v>366.26400000000012</c:v>
                </c:pt>
                <c:pt idx="25">
                  <c:v>369.86400000000009</c:v>
                </c:pt>
                <c:pt idx="26">
                  <c:v>372.13200000000001</c:v>
                </c:pt>
                <c:pt idx="27">
                  <c:v>373.26600000000002</c:v>
                </c:pt>
                <c:pt idx="28">
                  <c:v>373.5</c:v>
                </c:pt>
                <c:pt idx="29">
                  <c:v>372.834</c:v>
                </c:pt>
                <c:pt idx="30">
                  <c:v>371.26799999999992</c:v>
                </c:pt>
                <c:pt idx="31">
                  <c:v>368.80200000000002</c:v>
                </c:pt>
                <c:pt idx="32">
                  <c:v>364.10399999999993</c:v>
                </c:pt>
              </c:numCache>
            </c:numRef>
          </c:val>
          <c:smooth val="0"/>
          <c:extLst>
            <c:ext xmlns:c16="http://schemas.microsoft.com/office/drawing/2014/chart" uri="{C3380CC4-5D6E-409C-BE32-E72D297353CC}">
              <c16:uniqueId val="{00000003-B7FB-4786-8F4A-A030063C5392}"/>
            </c:ext>
          </c:extLst>
        </c:ser>
        <c:dLbls>
          <c:showLegendKey val="0"/>
          <c:showVal val="0"/>
          <c:showCatName val="0"/>
          <c:showSerName val="0"/>
          <c:showPercent val="0"/>
          <c:showBubbleSize val="0"/>
        </c:dLbls>
        <c:marker val="1"/>
        <c:smooth val="0"/>
        <c:axId val="-2115438872"/>
        <c:axId val="-2119134184"/>
      </c:lineChart>
      <c:catAx>
        <c:axId val="-211543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9134184"/>
        <c:crosses val="autoZero"/>
        <c:auto val="1"/>
        <c:lblAlgn val="ctr"/>
        <c:lblOffset val="100"/>
        <c:noMultiLvlLbl val="0"/>
      </c:catAx>
      <c:valAx>
        <c:axId val="-2119134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5438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Haridus!$D$156</c:f>
              <c:strCache>
                <c:ptCount val="1"/>
                <c:pt idx="0">
                  <c:v>Gümnaasiumiealised baas-stsenaarium</c:v>
                </c:pt>
              </c:strCache>
            </c:strRef>
          </c:tx>
          <c:spPr>
            <a:solidFill>
              <a:schemeClr val="accent1"/>
            </a:solidFill>
            <a:ln w="38100">
              <a:solidFill>
                <a:schemeClr val="accent1"/>
              </a:solidFill>
            </a:ln>
            <a:effectLst/>
          </c:spPr>
          <c:invertIfNegative val="0"/>
          <c:cat>
            <c:strRef>
              <c:f>Haridus!$E$155:$AK$155</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Haridus!$E$156:$AK$156</c:f>
              <c:numCache>
                <c:formatCode>0</c:formatCode>
                <c:ptCount val="33"/>
                <c:pt idx="0">
                  <c:v>233.62</c:v>
                </c:pt>
                <c:pt idx="1">
                  <c:v>241.44</c:v>
                </c:pt>
                <c:pt idx="2">
                  <c:v>245.96</c:v>
                </c:pt>
                <c:pt idx="3">
                  <c:v>245.52</c:v>
                </c:pt>
                <c:pt idx="4">
                  <c:v>245.74</c:v>
                </c:pt>
                <c:pt idx="5">
                  <c:v>244.52</c:v>
                </c:pt>
                <c:pt idx="6">
                  <c:v>228.46</c:v>
                </c:pt>
                <c:pt idx="7">
                  <c:v>213.38</c:v>
                </c:pt>
                <c:pt idx="8">
                  <c:v>201.86</c:v>
                </c:pt>
                <c:pt idx="9">
                  <c:v>216.76</c:v>
                </c:pt>
                <c:pt idx="10">
                  <c:v>228.66</c:v>
                </c:pt>
                <c:pt idx="11">
                  <c:v>232.96</c:v>
                </c:pt>
                <c:pt idx="12">
                  <c:v>204.88</c:v>
                </c:pt>
                <c:pt idx="13">
                  <c:v>185.38</c:v>
                </c:pt>
                <c:pt idx="14">
                  <c:v>167.2</c:v>
                </c:pt>
                <c:pt idx="15">
                  <c:v>153.12</c:v>
                </c:pt>
                <c:pt idx="16">
                  <c:v>142.6</c:v>
                </c:pt>
                <c:pt idx="17">
                  <c:v>142.96</c:v>
                </c:pt>
                <c:pt idx="18">
                  <c:v>158.80000000000001</c:v>
                </c:pt>
                <c:pt idx="19">
                  <c:v>163.26</c:v>
                </c:pt>
                <c:pt idx="20">
                  <c:v>161.52000000000001</c:v>
                </c:pt>
                <c:pt idx="21">
                  <c:v>160</c:v>
                </c:pt>
                <c:pt idx="22">
                  <c:v>159.74</c:v>
                </c:pt>
                <c:pt idx="23">
                  <c:v>160.74</c:v>
                </c:pt>
                <c:pt idx="24">
                  <c:v>161.74</c:v>
                </c:pt>
                <c:pt idx="25">
                  <c:v>162</c:v>
                </c:pt>
                <c:pt idx="26">
                  <c:v>161.26</c:v>
                </c:pt>
                <c:pt idx="27">
                  <c:v>159.26</c:v>
                </c:pt>
                <c:pt idx="28">
                  <c:v>159</c:v>
                </c:pt>
                <c:pt idx="29">
                  <c:v>159</c:v>
                </c:pt>
                <c:pt idx="30">
                  <c:v>158.26</c:v>
                </c:pt>
                <c:pt idx="31">
                  <c:v>156.52000000000001</c:v>
                </c:pt>
                <c:pt idx="32">
                  <c:v>154.52000000000001</c:v>
                </c:pt>
              </c:numCache>
            </c:numRef>
          </c:val>
          <c:extLst>
            <c:ext xmlns:c16="http://schemas.microsoft.com/office/drawing/2014/chart" uri="{C3380CC4-5D6E-409C-BE32-E72D297353CC}">
              <c16:uniqueId val="{00000000-07CB-4FE7-8E25-A23A7E2B6E7D}"/>
            </c:ext>
          </c:extLst>
        </c:ser>
        <c:dLbls>
          <c:showLegendKey val="0"/>
          <c:showVal val="0"/>
          <c:showCatName val="0"/>
          <c:showSerName val="0"/>
          <c:showPercent val="0"/>
          <c:showBubbleSize val="0"/>
        </c:dLbls>
        <c:gapWidth val="100"/>
        <c:axId val="-2117690680"/>
        <c:axId val="-2117687144"/>
      </c:barChart>
      <c:lineChart>
        <c:grouping val="standard"/>
        <c:varyColors val="0"/>
        <c:ser>
          <c:idx val="1"/>
          <c:order val="1"/>
          <c:tx>
            <c:strRef>
              <c:f>Haridus!$D$157</c:f>
              <c:strCache>
                <c:ptCount val="1"/>
                <c:pt idx="0">
                  <c:v>Gümnaasiumiealised rände-stsenaarium</c:v>
                </c:pt>
              </c:strCache>
            </c:strRef>
          </c:tx>
          <c:spPr>
            <a:ln w="28575" cap="rnd">
              <a:solidFill>
                <a:srgbClr val="FF0000"/>
              </a:solidFill>
              <a:round/>
            </a:ln>
            <a:effectLst/>
          </c:spPr>
          <c:marker>
            <c:symbol val="none"/>
          </c:marker>
          <c:cat>
            <c:strRef>
              <c:f>Haridus!$E$155:$AK$155</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Haridus!$E$157:$AK$157</c:f>
              <c:numCache>
                <c:formatCode>0</c:formatCode>
                <c:ptCount val="33"/>
                <c:pt idx="0">
                  <c:v>233.62</c:v>
                </c:pt>
                <c:pt idx="1">
                  <c:v>240.44</c:v>
                </c:pt>
                <c:pt idx="2">
                  <c:v>242.96</c:v>
                </c:pt>
                <c:pt idx="3">
                  <c:v>241.77999999999989</c:v>
                </c:pt>
                <c:pt idx="4">
                  <c:v>239</c:v>
                </c:pt>
                <c:pt idx="5">
                  <c:v>236.78</c:v>
                </c:pt>
                <c:pt idx="6">
                  <c:v>219.46</c:v>
                </c:pt>
                <c:pt idx="7">
                  <c:v>201.38</c:v>
                </c:pt>
                <c:pt idx="8">
                  <c:v>189.86</c:v>
                </c:pt>
                <c:pt idx="9">
                  <c:v>204.76</c:v>
                </c:pt>
                <c:pt idx="10">
                  <c:v>215.92</c:v>
                </c:pt>
                <c:pt idx="11">
                  <c:v>220.22</c:v>
                </c:pt>
                <c:pt idx="12">
                  <c:v>190.4</c:v>
                </c:pt>
                <c:pt idx="13">
                  <c:v>168.9</c:v>
                </c:pt>
                <c:pt idx="14">
                  <c:v>148.72</c:v>
                </c:pt>
                <c:pt idx="15">
                  <c:v>133.38</c:v>
                </c:pt>
                <c:pt idx="16">
                  <c:v>121.86</c:v>
                </c:pt>
                <c:pt idx="17">
                  <c:v>119.48</c:v>
                </c:pt>
                <c:pt idx="18">
                  <c:v>133.32</c:v>
                </c:pt>
                <c:pt idx="19">
                  <c:v>135.78</c:v>
                </c:pt>
                <c:pt idx="20">
                  <c:v>133.52000000000001</c:v>
                </c:pt>
                <c:pt idx="21">
                  <c:v>131.52000000000001</c:v>
                </c:pt>
                <c:pt idx="22">
                  <c:v>130.26</c:v>
                </c:pt>
                <c:pt idx="23">
                  <c:v>129.26</c:v>
                </c:pt>
                <c:pt idx="24">
                  <c:v>129</c:v>
                </c:pt>
                <c:pt idx="25">
                  <c:v>129</c:v>
                </c:pt>
                <c:pt idx="26">
                  <c:v>129.74</c:v>
                </c:pt>
                <c:pt idx="27">
                  <c:v>130.74</c:v>
                </c:pt>
                <c:pt idx="28">
                  <c:v>132.47999999999999</c:v>
                </c:pt>
                <c:pt idx="29">
                  <c:v>134.47999999999999</c:v>
                </c:pt>
                <c:pt idx="30">
                  <c:v>136.47999999999999</c:v>
                </c:pt>
                <c:pt idx="31">
                  <c:v>137.74</c:v>
                </c:pt>
                <c:pt idx="32">
                  <c:v>138.74</c:v>
                </c:pt>
              </c:numCache>
            </c:numRef>
          </c:val>
          <c:smooth val="0"/>
          <c:extLst>
            <c:ext xmlns:c16="http://schemas.microsoft.com/office/drawing/2014/chart" uri="{C3380CC4-5D6E-409C-BE32-E72D297353CC}">
              <c16:uniqueId val="{00000001-07CB-4FE7-8E25-A23A7E2B6E7D}"/>
            </c:ext>
          </c:extLst>
        </c:ser>
        <c:ser>
          <c:idx val="2"/>
          <c:order val="2"/>
          <c:tx>
            <c:strRef>
              <c:f>Haridus!$D$158</c:f>
              <c:strCache>
                <c:ptCount val="1"/>
                <c:pt idx="0">
                  <c:v>Koolikohtade arv</c:v>
                </c:pt>
              </c:strCache>
            </c:strRef>
          </c:tx>
          <c:spPr>
            <a:ln w="28575" cap="rnd">
              <a:solidFill>
                <a:schemeClr val="accent3"/>
              </a:solidFill>
              <a:round/>
            </a:ln>
            <a:effectLst/>
          </c:spPr>
          <c:marker>
            <c:symbol val="none"/>
          </c:marker>
          <c:cat>
            <c:strRef>
              <c:f>Haridus!$E$155:$AK$155</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Haridus!$E$158:$AK$158</c:f>
            </c:numRef>
          </c:val>
          <c:smooth val="0"/>
          <c:extLst>
            <c:ext xmlns:c16="http://schemas.microsoft.com/office/drawing/2014/chart" uri="{C3380CC4-5D6E-409C-BE32-E72D297353CC}">
              <c16:uniqueId val="{00000002-07CB-4FE7-8E25-A23A7E2B6E7D}"/>
            </c:ext>
          </c:extLst>
        </c:ser>
        <c:ser>
          <c:idx val="3"/>
          <c:order val="3"/>
          <c:tx>
            <c:strRef>
              <c:f>Haridus!$D$159</c:f>
              <c:strCache>
                <c:ptCount val="1"/>
                <c:pt idx="0">
                  <c:v>Gümnaasiumiõpilaste arv osalusega 50%</c:v>
                </c:pt>
              </c:strCache>
            </c:strRef>
          </c:tx>
          <c:spPr>
            <a:ln w="28575" cap="rnd">
              <a:solidFill>
                <a:schemeClr val="accent4"/>
              </a:solidFill>
              <a:round/>
            </a:ln>
            <a:effectLst/>
          </c:spPr>
          <c:marker>
            <c:symbol val="none"/>
          </c:marker>
          <c:cat>
            <c:strRef>
              <c:f>Haridus!$E$155:$AK$155</c:f>
              <c:strCache>
                <c:ptCount val="33"/>
                <c:pt idx="0">
                  <c:v>17/18</c:v>
                </c:pt>
                <c:pt idx="1">
                  <c:v>18/19</c:v>
                </c:pt>
                <c:pt idx="2">
                  <c:v>19/20</c:v>
                </c:pt>
                <c:pt idx="3">
                  <c:v>20/21</c:v>
                </c:pt>
                <c:pt idx="4">
                  <c:v>21/22</c:v>
                </c:pt>
                <c:pt idx="5">
                  <c:v>22/23</c:v>
                </c:pt>
                <c:pt idx="6">
                  <c:v>23/24</c:v>
                </c:pt>
                <c:pt idx="7">
                  <c:v>24/25</c:v>
                </c:pt>
                <c:pt idx="8">
                  <c:v>25/26</c:v>
                </c:pt>
                <c:pt idx="9">
                  <c:v>26/27</c:v>
                </c:pt>
                <c:pt idx="10">
                  <c:v>27/28</c:v>
                </c:pt>
                <c:pt idx="11">
                  <c:v>28/29</c:v>
                </c:pt>
                <c:pt idx="12">
                  <c:v>29/30</c:v>
                </c:pt>
                <c:pt idx="13">
                  <c:v>30/31</c:v>
                </c:pt>
                <c:pt idx="14">
                  <c:v>31/32</c:v>
                </c:pt>
                <c:pt idx="15">
                  <c:v>32/33</c:v>
                </c:pt>
                <c:pt idx="16">
                  <c:v>33/34</c:v>
                </c:pt>
                <c:pt idx="17">
                  <c:v>34/35</c:v>
                </c:pt>
                <c:pt idx="18">
                  <c:v>35/36</c:v>
                </c:pt>
                <c:pt idx="19">
                  <c:v>36/37</c:v>
                </c:pt>
                <c:pt idx="20">
                  <c:v>37/38</c:v>
                </c:pt>
                <c:pt idx="21">
                  <c:v>38/39</c:v>
                </c:pt>
                <c:pt idx="22">
                  <c:v>39/40</c:v>
                </c:pt>
                <c:pt idx="23">
                  <c:v>40/41</c:v>
                </c:pt>
                <c:pt idx="24">
                  <c:v>41/42</c:v>
                </c:pt>
                <c:pt idx="25">
                  <c:v>42/43</c:v>
                </c:pt>
                <c:pt idx="26">
                  <c:v>43/44</c:v>
                </c:pt>
                <c:pt idx="27">
                  <c:v>44/45</c:v>
                </c:pt>
                <c:pt idx="28">
                  <c:v>45/46</c:v>
                </c:pt>
                <c:pt idx="29">
                  <c:v>46/47</c:v>
                </c:pt>
                <c:pt idx="30">
                  <c:v>47/48</c:v>
                </c:pt>
                <c:pt idx="31">
                  <c:v>48/49</c:v>
                </c:pt>
                <c:pt idx="32">
                  <c:v>49/50</c:v>
                </c:pt>
              </c:strCache>
            </c:strRef>
          </c:cat>
          <c:val>
            <c:numRef>
              <c:f>Haridus!$E$159:$AK$159</c:f>
              <c:numCache>
                <c:formatCode>0</c:formatCode>
                <c:ptCount val="33"/>
                <c:pt idx="0">
                  <c:v>116.81</c:v>
                </c:pt>
                <c:pt idx="1">
                  <c:v>120.22</c:v>
                </c:pt>
                <c:pt idx="2">
                  <c:v>121.48</c:v>
                </c:pt>
                <c:pt idx="3">
                  <c:v>120.89</c:v>
                </c:pt>
                <c:pt idx="4">
                  <c:v>119.5</c:v>
                </c:pt>
                <c:pt idx="5">
                  <c:v>118.39</c:v>
                </c:pt>
                <c:pt idx="6">
                  <c:v>109.73</c:v>
                </c:pt>
                <c:pt idx="7">
                  <c:v>100.69</c:v>
                </c:pt>
                <c:pt idx="8">
                  <c:v>94.93</c:v>
                </c:pt>
                <c:pt idx="9">
                  <c:v>102.38</c:v>
                </c:pt>
                <c:pt idx="10">
                  <c:v>107.96</c:v>
                </c:pt>
                <c:pt idx="11">
                  <c:v>110.11</c:v>
                </c:pt>
                <c:pt idx="12">
                  <c:v>95.2</c:v>
                </c:pt>
                <c:pt idx="13">
                  <c:v>84.450000000000017</c:v>
                </c:pt>
                <c:pt idx="14">
                  <c:v>74.360000000000014</c:v>
                </c:pt>
                <c:pt idx="15">
                  <c:v>66.69</c:v>
                </c:pt>
                <c:pt idx="16">
                  <c:v>60.930000000000007</c:v>
                </c:pt>
                <c:pt idx="17">
                  <c:v>59.74</c:v>
                </c:pt>
                <c:pt idx="18">
                  <c:v>66.66</c:v>
                </c:pt>
                <c:pt idx="19">
                  <c:v>67.89</c:v>
                </c:pt>
                <c:pt idx="20">
                  <c:v>66.760000000000005</c:v>
                </c:pt>
                <c:pt idx="21">
                  <c:v>65.760000000000005</c:v>
                </c:pt>
                <c:pt idx="22">
                  <c:v>65.13</c:v>
                </c:pt>
                <c:pt idx="23">
                  <c:v>64.63</c:v>
                </c:pt>
                <c:pt idx="24">
                  <c:v>64.5</c:v>
                </c:pt>
                <c:pt idx="25">
                  <c:v>64.5</c:v>
                </c:pt>
                <c:pt idx="26">
                  <c:v>64.87</c:v>
                </c:pt>
                <c:pt idx="27">
                  <c:v>65.37</c:v>
                </c:pt>
                <c:pt idx="28">
                  <c:v>66.239999999999995</c:v>
                </c:pt>
                <c:pt idx="29">
                  <c:v>67.239999999999995</c:v>
                </c:pt>
                <c:pt idx="30">
                  <c:v>68.240000000000023</c:v>
                </c:pt>
                <c:pt idx="31">
                  <c:v>68.87</c:v>
                </c:pt>
                <c:pt idx="32">
                  <c:v>69.37</c:v>
                </c:pt>
              </c:numCache>
            </c:numRef>
          </c:val>
          <c:smooth val="0"/>
          <c:extLst>
            <c:ext xmlns:c16="http://schemas.microsoft.com/office/drawing/2014/chart" uri="{C3380CC4-5D6E-409C-BE32-E72D297353CC}">
              <c16:uniqueId val="{00000003-07CB-4FE7-8E25-A23A7E2B6E7D}"/>
            </c:ext>
          </c:extLst>
        </c:ser>
        <c:dLbls>
          <c:showLegendKey val="0"/>
          <c:showVal val="0"/>
          <c:showCatName val="0"/>
          <c:showSerName val="0"/>
          <c:showPercent val="0"/>
          <c:showBubbleSize val="0"/>
        </c:dLbls>
        <c:marker val="1"/>
        <c:smooth val="0"/>
        <c:axId val="-2117690680"/>
        <c:axId val="-2117687144"/>
      </c:lineChart>
      <c:catAx>
        <c:axId val="-211769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7687144"/>
        <c:crosses val="autoZero"/>
        <c:auto val="1"/>
        <c:lblAlgn val="ctr"/>
        <c:lblOffset val="100"/>
        <c:noMultiLvlLbl val="0"/>
      </c:catAx>
      <c:valAx>
        <c:axId val="-2117687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7690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'Struktuur 2017'!$K$45</c:f>
              <c:strCache>
                <c:ptCount val="1"/>
                <c:pt idx="0">
                  <c:v>Kiviõli linn</c:v>
                </c:pt>
              </c:strCache>
            </c:strRef>
          </c:tx>
          <c:spPr>
            <a:ln w="28575" cap="rnd">
              <a:solidFill>
                <a:schemeClr val="accent1"/>
              </a:solidFill>
              <a:round/>
            </a:ln>
            <a:effectLst/>
          </c:spPr>
          <c:marker>
            <c:symbol val="none"/>
          </c:marker>
          <c:cat>
            <c:strRef>
              <c:f>'Struktuur 2017'!$L$44:$AB$44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2017'!$L$45:$AB$45</c:f>
              <c:numCache>
                <c:formatCode>0%</c:formatCode>
                <c:ptCount val="17"/>
                <c:pt idx="0">
                  <c:v>1.285714285714286</c:v>
                </c:pt>
                <c:pt idx="1">
                  <c:v>1.064220183486239</c:v>
                </c:pt>
                <c:pt idx="2">
                  <c:v>1.056910569105691</c:v>
                </c:pt>
                <c:pt idx="3">
                  <c:v>1.008695652173913</c:v>
                </c:pt>
                <c:pt idx="4">
                  <c:v>1.481481481481481</c:v>
                </c:pt>
                <c:pt idx="5">
                  <c:v>1.4757281553398061</c:v>
                </c:pt>
                <c:pt idx="6">
                  <c:v>1.272</c:v>
                </c:pt>
                <c:pt idx="7">
                  <c:v>1.124137931034483</c:v>
                </c:pt>
                <c:pt idx="8">
                  <c:v>1.1645569620253171</c:v>
                </c:pt>
                <c:pt idx="9">
                  <c:v>1.1377245508982039</c:v>
                </c:pt>
                <c:pt idx="10">
                  <c:v>0.94039735099337796</c:v>
                </c:pt>
                <c:pt idx="11">
                  <c:v>0.842741935483871</c:v>
                </c:pt>
                <c:pt idx="12">
                  <c:v>0.64750957854406099</c:v>
                </c:pt>
                <c:pt idx="13">
                  <c:v>0.68345323741007202</c:v>
                </c:pt>
                <c:pt idx="14">
                  <c:v>0.51445086705202303</c:v>
                </c:pt>
                <c:pt idx="15">
                  <c:v>0.467980295566502</c:v>
                </c:pt>
                <c:pt idx="16">
                  <c:v>0.31926121372031702</c:v>
                </c:pt>
              </c:numCache>
            </c:numRef>
          </c:val>
          <c:smooth val="0"/>
          <c:extLst>
            <c:ext xmlns:c16="http://schemas.microsoft.com/office/drawing/2014/chart" uri="{C3380CC4-5D6E-409C-BE32-E72D297353CC}">
              <c16:uniqueId val="{00000000-81FC-49A6-BC33-E49AF3753CBB}"/>
            </c:ext>
          </c:extLst>
        </c:ser>
        <c:ser>
          <c:idx val="1"/>
          <c:order val="1"/>
          <c:tx>
            <c:strRef>
              <c:f>'Struktuur 2017'!$K$46</c:f>
              <c:strCache>
                <c:ptCount val="1"/>
                <c:pt idx="0">
                  <c:v>Lüganuse vlad</c:v>
                </c:pt>
              </c:strCache>
            </c:strRef>
          </c:tx>
          <c:spPr>
            <a:ln w="28575" cap="rnd">
              <a:solidFill>
                <a:schemeClr val="accent2"/>
              </a:solidFill>
              <a:round/>
            </a:ln>
            <a:effectLst/>
          </c:spPr>
          <c:marker>
            <c:symbol val="none"/>
          </c:marker>
          <c:cat>
            <c:strRef>
              <c:f>'Struktuur 2017'!$L$44:$AB$44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2017'!$L$46:$AB$46</c:f>
              <c:numCache>
                <c:formatCode>0%</c:formatCode>
                <c:ptCount val="17"/>
                <c:pt idx="0">
                  <c:v>0.84905660377358505</c:v>
                </c:pt>
                <c:pt idx="1">
                  <c:v>1</c:v>
                </c:pt>
                <c:pt idx="2">
                  <c:v>1.3269230769230771</c:v>
                </c:pt>
                <c:pt idx="3">
                  <c:v>0.79729729729729704</c:v>
                </c:pt>
                <c:pt idx="4">
                  <c:v>1.580645161290323</c:v>
                </c:pt>
                <c:pt idx="5">
                  <c:v>1.280898876404494</c:v>
                </c:pt>
                <c:pt idx="6">
                  <c:v>1.666666666666667</c:v>
                </c:pt>
                <c:pt idx="7">
                  <c:v>1.48</c:v>
                </c:pt>
                <c:pt idx="8">
                  <c:v>0.99019607843137303</c:v>
                </c:pt>
                <c:pt idx="9">
                  <c:v>1.3009708737864081</c:v>
                </c:pt>
                <c:pt idx="10">
                  <c:v>0.86776859504132198</c:v>
                </c:pt>
                <c:pt idx="11">
                  <c:v>1.216666666666667</c:v>
                </c:pt>
                <c:pt idx="12">
                  <c:v>0.8984375</c:v>
                </c:pt>
                <c:pt idx="13">
                  <c:v>0.70078740157480301</c:v>
                </c:pt>
                <c:pt idx="14">
                  <c:v>0.68817204301075297</c:v>
                </c:pt>
                <c:pt idx="15">
                  <c:v>0.55319148936170204</c:v>
                </c:pt>
                <c:pt idx="16">
                  <c:v>0.31666666666666698</c:v>
                </c:pt>
              </c:numCache>
            </c:numRef>
          </c:val>
          <c:smooth val="0"/>
          <c:extLst>
            <c:ext xmlns:c16="http://schemas.microsoft.com/office/drawing/2014/chart" uri="{C3380CC4-5D6E-409C-BE32-E72D297353CC}">
              <c16:uniqueId val="{00000001-81FC-49A6-BC33-E49AF3753CBB}"/>
            </c:ext>
          </c:extLst>
        </c:ser>
        <c:ser>
          <c:idx val="2"/>
          <c:order val="2"/>
          <c:tx>
            <c:strRef>
              <c:f>'Struktuur 2017'!$K$47</c:f>
              <c:strCache>
                <c:ptCount val="1"/>
                <c:pt idx="0">
                  <c:v>Sonda vald</c:v>
                </c:pt>
              </c:strCache>
            </c:strRef>
          </c:tx>
          <c:spPr>
            <a:ln w="28575" cap="rnd">
              <a:solidFill>
                <a:schemeClr val="accent3"/>
              </a:solidFill>
              <a:round/>
            </a:ln>
            <a:effectLst/>
          </c:spPr>
          <c:marker>
            <c:symbol val="none"/>
          </c:marker>
          <c:cat>
            <c:strRef>
              <c:f>'Struktuur 2017'!$L$44:$AB$44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2017'!$L$47:$AB$47</c:f>
              <c:numCache>
                <c:formatCode>0%</c:formatCode>
                <c:ptCount val="17"/>
                <c:pt idx="0">
                  <c:v>1.0714285714285721</c:v>
                </c:pt>
                <c:pt idx="1">
                  <c:v>2</c:v>
                </c:pt>
                <c:pt idx="2">
                  <c:v>0.57142857142857195</c:v>
                </c:pt>
                <c:pt idx="3">
                  <c:v>0.875</c:v>
                </c:pt>
                <c:pt idx="4">
                  <c:v>1.7142857142857151</c:v>
                </c:pt>
                <c:pt idx="5">
                  <c:v>2.3125</c:v>
                </c:pt>
                <c:pt idx="6">
                  <c:v>2.545454545454545</c:v>
                </c:pt>
                <c:pt idx="7">
                  <c:v>1.083333333333333</c:v>
                </c:pt>
                <c:pt idx="8">
                  <c:v>1.5789473684210531</c:v>
                </c:pt>
                <c:pt idx="9">
                  <c:v>1.464285714285714</c:v>
                </c:pt>
                <c:pt idx="10">
                  <c:v>1.173913043478261</c:v>
                </c:pt>
                <c:pt idx="11">
                  <c:v>1.161290322580645</c:v>
                </c:pt>
                <c:pt idx="12">
                  <c:v>0.93333333333333302</c:v>
                </c:pt>
                <c:pt idx="13">
                  <c:v>0.68421052631579005</c:v>
                </c:pt>
                <c:pt idx="14">
                  <c:v>1.1052631578947369</c:v>
                </c:pt>
                <c:pt idx="15">
                  <c:v>0.4</c:v>
                </c:pt>
                <c:pt idx="16">
                  <c:v>0.53191489361702105</c:v>
                </c:pt>
              </c:numCache>
            </c:numRef>
          </c:val>
          <c:smooth val="0"/>
          <c:extLst>
            <c:ext xmlns:c16="http://schemas.microsoft.com/office/drawing/2014/chart" uri="{C3380CC4-5D6E-409C-BE32-E72D297353CC}">
              <c16:uniqueId val="{00000002-81FC-49A6-BC33-E49AF3753CBB}"/>
            </c:ext>
          </c:extLst>
        </c:ser>
        <c:ser>
          <c:idx val="3"/>
          <c:order val="3"/>
          <c:tx>
            <c:strRef>
              <c:f>'Struktuur 2017'!$K$48</c:f>
              <c:strCache>
                <c:ptCount val="1"/>
                <c:pt idx="0">
                  <c:v>Kiviõli prk</c:v>
                </c:pt>
              </c:strCache>
            </c:strRef>
          </c:tx>
          <c:spPr>
            <a:ln w="28575" cap="rnd">
              <a:solidFill>
                <a:schemeClr val="accent4"/>
              </a:solidFill>
              <a:round/>
            </a:ln>
            <a:effectLst/>
          </c:spPr>
          <c:marker>
            <c:symbol val="none"/>
          </c:marker>
          <c:cat>
            <c:strRef>
              <c:f>'Struktuur 2017'!$L$44:$AB$44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2017'!$L$48:$AB$48</c:f>
              <c:numCache>
                <c:formatCode>0%</c:formatCode>
                <c:ptCount val="17"/>
                <c:pt idx="0">
                  <c:v>1.084615384615385</c:v>
                </c:pt>
                <c:pt idx="1">
                  <c:v>1.11046511627907</c:v>
                </c:pt>
                <c:pt idx="2">
                  <c:v>1.0765306122448981</c:v>
                </c:pt>
                <c:pt idx="3">
                  <c:v>0.92018779342723001</c:v>
                </c:pt>
                <c:pt idx="4">
                  <c:v>1.54140127388535</c:v>
                </c:pt>
                <c:pt idx="5">
                  <c:v>1.4567307692307689</c:v>
                </c:pt>
                <c:pt idx="6">
                  <c:v>1.4611398963730571</c:v>
                </c:pt>
                <c:pt idx="7">
                  <c:v>1.200913242009132</c:v>
                </c:pt>
                <c:pt idx="8">
                  <c:v>1.129032258064516</c:v>
                </c:pt>
                <c:pt idx="9">
                  <c:v>1.2248322147651001</c:v>
                </c:pt>
                <c:pt idx="10">
                  <c:v>0.92881355932203402</c:v>
                </c:pt>
                <c:pt idx="11">
                  <c:v>0.97994987468671702</c:v>
                </c:pt>
                <c:pt idx="12">
                  <c:v>0.75115207373271897</c:v>
                </c:pt>
                <c:pt idx="13">
                  <c:v>0.68848758465011295</c:v>
                </c:pt>
                <c:pt idx="14">
                  <c:v>0.61052631578947403</c:v>
                </c:pt>
                <c:pt idx="15">
                  <c:v>0.48623853211009199</c:v>
                </c:pt>
                <c:pt idx="16">
                  <c:v>0.33699633699633702</c:v>
                </c:pt>
              </c:numCache>
            </c:numRef>
          </c:val>
          <c:smooth val="0"/>
          <c:extLst>
            <c:ext xmlns:c16="http://schemas.microsoft.com/office/drawing/2014/chart" uri="{C3380CC4-5D6E-409C-BE32-E72D297353CC}">
              <c16:uniqueId val="{00000003-81FC-49A6-BC33-E49AF3753CBB}"/>
            </c:ext>
          </c:extLst>
        </c:ser>
        <c:dLbls>
          <c:showLegendKey val="0"/>
          <c:showVal val="0"/>
          <c:showCatName val="0"/>
          <c:showSerName val="0"/>
          <c:showPercent val="0"/>
          <c:showBubbleSize val="0"/>
        </c:dLbls>
        <c:smooth val="0"/>
        <c:axId val="-2116577368"/>
        <c:axId val="-2116573816"/>
      </c:lineChart>
      <c:catAx>
        <c:axId val="-211657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73816"/>
        <c:crosses val="autoZero"/>
        <c:auto val="1"/>
        <c:lblAlgn val="ctr"/>
        <c:lblOffset val="100"/>
        <c:noMultiLvlLbl val="0"/>
      </c:catAx>
      <c:valAx>
        <c:axId val="-2116573816"/>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7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'Struktuur 2017'!$H$117</c:f>
              <c:strCache>
                <c:ptCount val="1"/>
                <c:pt idx="0">
                  <c:v>Naised 2017</c:v>
                </c:pt>
              </c:strCache>
            </c:strRef>
          </c:tx>
          <c:spPr>
            <a:solidFill>
              <a:schemeClr val="accent2"/>
            </a:solidFill>
            <a:ln>
              <a:solidFill>
                <a:schemeClr val="bg2">
                  <a:lumMod val="50000"/>
                </a:schemeClr>
              </a:solidFill>
            </a:ln>
            <a:effectLst/>
          </c:spPr>
          <c:invertIfNegative val="0"/>
          <c:dLbls>
            <c:numFmt formatCode="0%;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'Struktuur 2017'!$G$118:$G$134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2017'!$H$118:$H$134</c:f>
              <c:numCache>
                <c:formatCode>0%</c:formatCode>
                <c:ptCount val="17"/>
                <c:pt idx="0">
                  <c:v>-2.7117229870671701E-2</c:v>
                </c:pt>
                <c:pt idx="1">
                  <c:v>-3.5878181059657899E-2</c:v>
                </c:pt>
                <c:pt idx="2">
                  <c:v>-4.0884438881935797E-2</c:v>
                </c:pt>
                <c:pt idx="3">
                  <c:v>-4.4430538172715903E-2</c:v>
                </c:pt>
                <c:pt idx="4">
                  <c:v>-3.2749269920734299E-2</c:v>
                </c:pt>
                <c:pt idx="5">
                  <c:v>-4.3387567793074698E-2</c:v>
                </c:pt>
                <c:pt idx="6">
                  <c:v>-4.0258656654151001E-2</c:v>
                </c:pt>
                <c:pt idx="7">
                  <c:v>-4.5682102628285398E-2</c:v>
                </c:pt>
                <c:pt idx="8">
                  <c:v>-5.8197747183979999E-2</c:v>
                </c:pt>
                <c:pt idx="9">
                  <c:v>-6.2161034626616603E-2</c:v>
                </c:pt>
                <c:pt idx="10">
                  <c:v>-6.1535252398831897E-2</c:v>
                </c:pt>
                <c:pt idx="11">
                  <c:v>-8.3229036295369194E-2</c:v>
                </c:pt>
                <c:pt idx="12">
                  <c:v>-9.0529828952857799E-2</c:v>
                </c:pt>
                <c:pt idx="13">
                  <c:v>-9.2407175636211897E-2</c:v>
                </c:pt>
                <c:pt idx="14">
                  <c:v>-5.9449311639549397E-2</c:v>
                </c:pt>
                <c:pt idx="15">
                  <c:v>-6.8210262828535706E-2</c:v>
                </c:pt>
                <c:pt idx="16">
                  <c:v>-0.11389236545682099</c:v>
                </c:pt>
              </c:numCache>
            </c:numRef>
          </c:val>
          <c:extLst>
            <c:ext xmlns:c16="http://schemas.microsoft.com/office/drawing/2014/chart" uri="{C3380CC4-5D6E-409C-BE32-E72D297353CC}">
              <c16:uniqueId val="{00000000-0637-41C6-9749-0BD882EDC796}"/>
            </c:ext>
          </c:extLst>
        </c:ser>
        <c:ser>
          <c:idx val="2"/>
          <c:order val="1"/>
          <c:tx>
            <c:strRef>
              <c:f>'Struktuur 2017'!$I$117</c:f>
              <c:strCache>
                <c:ptCount val="1"/>
                <c:pt idx="0">
                  <c:v>Mehed 2017</c:v>
                </c:pt>
              </c:strCache>
            </c:strRef>
          </c:tx>
          <c:spPr>
            <a:solidFill>
              <a:schemeClr val="accent1"/>
            </a:solidFill>
            <a:ln>
              <a:solidFill>
                <a:schemeClr val="bg2">
                  <a:lumMod val="50000"/>
                </a:scheme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'Struktuur 2017'!$G$118:$G$134</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'Struktuur 2017'!$I$118:$I$134</c:f>
              <c:numCache>
                <c:formatCode>0%</c:formatCode>
                <c:ptCount val="17"/>
                <c:pt idx="0">
                  <c:v>3.2623785284590499E-2</c:v>
                </c:pt>
                <c:pt idx="1">
                  <c:v>4.4192503470615499E-2</c:v>
                </c:pt>
                <c:pt idx="2">
                  <c:v>4.88199907450255E-2</c:v>
                </c:pt>
                <c:pt idx="3">
                  <c:v>4.5349375289217897E-2</c:v>
                </c:pt>
                <c:pt idx="4">
                  <c:v>5.5992596020361003E-2</c:v>
                </c:pt>
                <c:pt idx="5">
                  <c:v>7.01064322073114E-2</c:v>
                </c:pt>
                <c:pt idx="6">
                  <c:v>6.5247570569180902E-2</c:v>
                </c:pt>
                <c:pt idx="7">
                  <c:v>6.0851457658491398E-2</c:v>
                </c:pt>
                <c:pt idx="8">
                  <c:v>7.28829245719574E-2</c:v>
                </c:pt>
                <c:pt idx="9">
                  <c:v>8.4451642757982406E-2</c:v>
                </c:pt>
                <c:pt idx="10">
                  <c:v>6.3396575659416907E-2</c:v>
                </c:pt>
                <c:pt idx="11">
                  <c:v>9.04673762147154E-2</c:v>
                </c:pt>
                <c:pt idx="12">
                  <c:v>7.5428042572882895E-2</c:v>
                </c:pt>
                <c:pt idx="13">
                  <c:v>7.0569180934752396E-2</c:v>
                </c:pt>
                <c:pt idx="14">
                  <c:v>4.02591392873669E-2</c:v>
                </c:pt>
                <c:pt idx="15">
                  <c:v>3.6788523831559498E-2</c:v>
                </c:pt>
                <c:pt idx="16">
                  <c:v>4.2572882924572002E-2</c:v>
                </c:pt>
              </c:numCache>
            </c:numRef>
          </c:val>
          <c:extLst>
            <c:ext xmlns:c16="http://schemas.microsoft.com/office/drawing/2014/chart" uri="{C3380CC4-5D6E-409C-BE32-E72D297353CC}">
              <c16:uniqueId val="{00000001-0637-41C6-9749-0BD882EDC796}"/>
            </c:ext>
          </c:extLst>
        </c:ser>
        <c:dLbls>
          <c:showLegendKey val="0"/>
          <c:showVal val="0"/>
          <c:showCatName val="0"/>
          <c:showSerName val="0"/>
          <c:showPercent val="0"/>
          <c:showBubbleSize val="0"/>
        </c:dLbls>
        <c:gapWidth val="0"/>
        <c:overlap val="95"/>
        <c:axId val="-2116190136"/>
        <c:axId val="-2116186056"/>
      </c:barChart>
      <c:catAx>
        <c:axId val="-2116190136"/>
        <c:scaling>
          <c:orientation val="minMax"/>
        </c:scaling>
        <c:delete val="0"/>
        <c:axPos val="r"/>
        <c:majorGridlines>
          <c:spPr>
            <a:ln w="9525" cap="flat" cmpd="sng" algn="ctr">
              <a:noFill/>
              <a:round/>
            </a:ln>
            <a:effectLst/>
          </c:spPr>
        </c:majorGridlines>
        <c:minorGridlines>
          <c:spPr>
            <a:ln w="9525" cap="flat" cmpd="sng" algn="ctr">
              <a:solidFill>
                <a:schemeClr val="bg2">
                  <a:lumMod val="50000"/>
                  <a:alpha val="10000"/>
                </a:schemeClr>
              </a:solidFill>
              <a:round/>
            </a:ln>
            <a:effectLst/>
          </c:spPr>
        </c:minorGridlines>
        <c:numFmt formatCode="0.0%"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16186056"/>
        <c:crosses val="max"/>
        <c:auto val="1"/>
        <c:lblAlgn val="ctr"/>
        <c:lblOffset val="100"/>
        <c:noMultiLvlLbl val="0"/>
      </c:catAx>
      <c:valAx>
        <c:axId val="-2116186056"/>
        <c:scaling>
          <c:orientation val="minMax"/>
          <c:max val="0.12"/>
          <c:min val="-0.12"/>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16190136"/>
        <c:crosses val="autoZero"/>
        <c:crossBetween val="between"/>
        <c:majorUnit val="0.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'Iive 2'!$A$43</c:f>
              <c:strCache>
                <c:ptCount val="1"/>
                <c:pt idx="0">
                  <c:v>Sünnid</c:v>
                </c:pt>
              </c:strCache>
            </c:strRef>
          </c:tx>
          <c:spPr>
            <a:ln w="28575" cap="rnd">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2'!$B$42:$D$42</c:f>
              <c:numCache>
                <c:formatCode>General</c:formatCode>
                <c:ptCount val="3"/>
                <c:pt idx="0">
                  <c:v>2014</c:v>
                </c:pt>
                <c:pt idx="1">
                  <c:v>2015</c:v>
                </c:pt>
                <c:pt idx="2">
                  <c:v>2016</c:v>
                </c:pt>
              </c:numCache>
            </c:numRef>
          </c:cat>
          <c:val>
            <c:numRef>
              <c:f>'Iive 2'!$B$43:$D$43</c:f>
              <c:numCache>
                <c:formatCode>General</c:formatCode>
                <c:ptCount val="3"/>
                <c:pt idx="0">
                  <c:v>68</c:v>
                </c:pt>
                <c:pt idx="1">
                  <c:v>60</c:v>
                </c:pt>
                <c:pt idx="2">
                  <c:v>61</c:v>
                </c:pt>
              </c:numCache>
            </c:numRef>
          </c:val>
          <c:smooth val="0"/>
          <c:extLst>
            <c:ext xmlns:c16="http://schemas.microsoft.com/office/drawing/2014/chart" uri="{C3380CC4-5D6E-409C-BE32-E72D297353CC}">
              <c16:uniqueId val="{00000000-C9A4-4D9E-B9AF-0C1E39523632}"/>
            </c:ext>
          </c:extLst>
        </c:ser>
        <c:ser>
          <c:idx val="1"/>
          <c:order val="1"/>
          <c:tx>
            <c:strRef>
              <c:f>'Iive 2'!$A$44</c:f>
              <c:strCache>
                <c:ptCount val="1"/>
                <c:pt idx="0">
                  <c:v>Surmad</c:v>
                </c:pt>
              </c:strCache>
            </c:strRef>
          </c:tx>
          <c:spPr>
            <a:ln w="28575" cap="rnd">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2'!$B$42:$D$42</c:f>
              <c:numCache>
                <c:formatCode>General</c:formatCode>
                <c:ptCount val="3"/>
                <c:pt idx="0">
                  <c:v>2014</c:v>
                </c:pt>
                <c:pt idx="1">
                  <c:v>2015</c:v>
                </c:pt>
                <c:pt idx="2">
                  <c:v>2016</c:v>
                </c:pt>
              </c:numCache>
            </c:numRef>
          </c:cat>
          <c:val>
            <c:numRef>
              <c:f>'Iive 2'!$B$44:$D$44</c:f>
              <c:numCache>
                <c:formatCode>General</c:formatCode>
                <c:ptCount val="3"/>
                <c:pt idx="0">
                  <c:v>173</c:v>
                </c:pt>
                <c:pt idx="1">
                  <c:v>176</c:v>
                </c:pt>
                <c:pt idx="2">
                  <c:v>177</c:v>
                </c:pt>
              </c:numCache>
            </c:numRef>
          </c:val>
          <c:smooth val="0"/>
          <c:extLst>
            <c:ext xmlns:c16="http://schemas.microsoft.com/office/drawing/2014/chart" uri="{C3380CC4-5D6E-409C-BE32-E72D297353CC}">
              <c16:uniqueId val="{00000001-C9A4-4D9E-B9AF-0C1E39523632}"/>
            </c:ext>
          </c:extLst>
        </c:ser>
        <c:ser>
          <c:idx val="2"/>
          <c:order val="2"/>
          <c:tx>
            <c:strRef>
              <c:f>'Iive 2'!$A$45</c:f>
              <c:strCache>
                <c:ptCount val="1"/>
                <c:pt idx="0">
                  <c:v>Loomulik iive</c:v>
                </c:pt>
              </c:strCache>
            </c:strRef>
          </c:tx>
          <c:spPr>
            <a:ln w="28575" cap="rnd">
              <a:solidFill>
                <a:schemeClr val="accent3"/>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2'!$B$42:$D$42</c:f>
              <c:numCache>
                <c:formatCode>General</c:formatCode>
                <c:ptCount val="3"/>
                <c:pt idx="0">
                  <c:v>2014</c:v>
                </c:pt>
                <c:pt idx="1">
                  <c:v>2015</c:v>
                </c:pt>
                <c:pt idx="2">
                  <c:v>2016</c:v>
                </c:pt>
              </c:numCache>
            </c:numRef>
          </c:cat>
          <c:val>
            <c:numRef>
              <c:f>'Iive 2'!$B$45:$D$45</c:f>
              <c:numCache>
                <c:formatCode>General</c:formatCode>
                <c:ptCount val="3"/>
                <c:pt idx="0">
                  <c:v>-105</c:v>
                </c:pt>
                <c:pt idx="1">
                  <c:v>-116</c:v>
                </c:pt>
                <c:pt idx="2">
                  <c:v>-116</c:v>
                </c:pt>
              </c:numCache>
            </c:numRef>
          </c:val>
          <c:smooth val="0"/>
          <c:extLst>
            <c:ext xmlns:c16="http://schemas.microsoft.com/office/drawing/2014/chart" uri="{C3380CC4-5D6E-409C-BE32-E72D297353CC}">
              <c16:uniqueId val="{00000002-C9A4-4D9E-B9AF-0C1E39523632}"/>
            </c:ext>
          </c:extLst>
        </c:ser>
        <c:dLbls>
          <c:showLegendKey val="0"/>
          <c:showVal val="0"/>
          <c:showCatName val="0"/>
          <c:showSerName val="0"/>
          <c:showPercent val="0"/>
          <c:showBubbleSize val="0"/>
        </c:dLbls>
        <c:smooth val="0"/>
        <c:axId val="-2117671912"/>
        <c:axId val="-2117668392"/>
      </c:lineChart>
      <c:catAx>
        <c:axId val="-211767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7668392"/>
        <c:crosses val="autoZero"/>
        <c:auto val="1"/>
        <c:lblAlgn val="ctr"/>
        <c:lblOffset val="100"/>
        <c:noMultiLvlLbl val="0"/>
      </c:catAx>
      <c:valAx>
        <c:axId val="-2117668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7671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'Iive 2'!$A$48</c:f>
              <c:strCache>
                <c:ptCount val="1"/>
                <c:pt idx="0">
                  <c:v>Saabumised</c:v>
                </c:pt>
              </c:strCache>
            </c:strRef>
          </c:tx>
          <c:spPr>
            <a:ln w="47625" cap="rnd">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2'!$B$47:$D$47</c:f>
              <c:numCache>
                <c:formatCode>General</c:formatCode>
                <c:ptCount val="3"/>
                <c:pt idx="0">
                  <c:v>2014</c:v>
                </c:pt>
                <c:pt idx="1">
                  <c:v>2015</c:v>
                </c:pt>
                <c:pt idx="2">
                  <c:v>2016</c:v>
                </c:pt>
              </c:numCache>
            </c:numRef>
          </c:cat>
          <c:val>
            <c:numRef>
              <c:f>'Iive 2'!$B$48:$D$48</c:f>
              <c:numCache>
                <c:formatCode>General</c:formatCode>
                <c:ptCount val="3"/>
                <c:pt idx="0">
                  <c:v>160</c:v>
                </c:pt>
                <c:pt idx="1">
                  <c:v>186</c:v>
                </c:pt>
                <c:pt idx="2">
                  <c:v>197</c:v>
                </c:pt>
              </c:numCache>
            </c:numRef>
          </c:val>
          <c:smooth val="0"/>
          <c:extLst>
            <c:ext xmlns:c16="http://schemas.microsoft.com/office/drawing/2014/chart" uri="{C3380CC4-5D6E-409C-BE32-E72D297353CC}">
              <c16:uniqueId val="{00000000-2B90-4EC9-B509-51786A5EA1B0}"/>
            </c:ext>
          </c:extLst>
        </c:ser>
        <c:ser>
          <c:idx val="1"/>
          <c:order val="1"/>
          <c:tx>
            <c:strRef>
              <c:f>'Iive 2'!$A$49</c:f>
              <c:strCache>
                <c:ptCount val="1"/>
                <c:pt idx="0">
                  <c:v>Lahkumised</c:v>
                </c:pt>
              </c:strCache>
            </c:strRef>
          </c:tx>
          <c:spPr>
            <a:ln w="47625" cap="rnd">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2'!$B$47:$D$47</c:f>
              <c:numCache>
                <c:formatCode>General</c:formatCode>
                <c:ptCount val="3"/>
                <c:pt idx="0">
                  <c:v>2014</c:v>
                </c:pt>
                <c:pt idx="1">
                  <c:v>2015</c:v>
                </c:pt>
                <c:pt idx="2">
                  <c:v>2016</c:v>
                </c:pt>
              </c:numCache>
            </c:numRef>
          </c:cat>
          <c:val>
            <c:numRef>
              <c:f>'Iive 2'!$B$49:$D$49</c:f>
              <c:numCache>
                <c:formatCode>General</c:formatCode>
                <c:ptCount val="3"/>
                <c:pt idx="0">
                  <c:v>353</c:v>
                </c:pt>
                <c:pt idx="1">
                  <c:v>298</c:v>
                </c:pt>
                <c:pt idx="2">
                  <c:v>339</c:v>
                </c:pt>
              </c:numCache>
            </c:numRef>
          </c:val>
          <c:smooth val="0"/>
          <c:extLst>
            <c:ext xmlns:c16="http://schemas.microsoft.com/office/drawing/2014/chart" uri="{C3380CC4-5D6E-409C-BE32-E72D297353CC}">
              <c16:uniqueId val="{00000001-2B90-4EC9-B509-51786A5EA1B0}"/>
            </c:ext>
          </c:extLst>
        </c:ser>
        <c:ser>
          <c:idx val="2"/>
          <c:order val="2"/>
          <c:tx>
            <c:strRef>
              <c:f>'Iive 2'!$A$50</c:f>
              <c:strCache>
                <c:ptCount val="1"/>
                <c:pt idx="0">
                  <c:v>Rändeiive</c:v>
                </c:pt>
              </c:strCache>
            </c:strRef>
          </c:tx>
          <c:spPr>
            <a:ln w="47625" cap="rnd">
              <a:solidFill>
                <a:schemeClr val="accent3"/>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2'!$B$47:$D$47</c:f>
              <c:numCache>
                <c:formatCode>General</c:formatCode>
                <c:ptCount val="3"/>
                <c:pt idx="0">
                  <c:v>2014</c:v>
                </c:pt>
                <c:pt idx="1">
                  <c:v>2015</c:v>
                </c:pt>
                <c:pt idx="2">
                  <c:v>2016</c:v>
                </c:pt>
              </c:numCache>
            </c:numRef>
          </c:cat>
          <c:val>
            <c:numRef>
              <c:f>'Iive 2'!$B$50:$D$50</c:f>
              <c:numCache>
                <c:formatCode>General</c:formatCode>
                <c:ptCount val="3"/>
                <c:pt idx="0">
                  <c:v>-193</c:v>
                </c:pt>
                <c:pt idx="1">
                  <c:v>-112</c:v>
                </c:pt>
                <c:pt idx="2">
                  <c:v>-142</c:v>
                </c:pt>
              </c:numCache>
            </c:numRef>
          </c:val>
          <c:smooth val="0"/>
          <c:extLst>
            <c:ext xmlns:c16="http://schemas.microsoft.com/office/drawing/2014/chart" uri="{C3380CC4-5D6E-409C-BE32-E72D297353CC}">
              <c16:uniqueId val="{00000002-2B90-4EC9-B509-51786A5EA1B0}"/>
            </c:ext>
          </c:extLst>
        </c:ser>
        <c:ser>
          <c:idx val="3"/>
          <c:order val="3"/>
          <c:tx>
            <c:strRef>
              <c:f>'Iive 2'!$A$51</c:f>
              <c:strCache>
                <c:ptCount val="1"/>
                <c:pt idx="0">
                  <c:v>KOV sisene liikumine</c:v>
                </c:pt>
              </c:strCache>
            </c:strRef>
          </c:tx>
          <c:spPr>
            <a:ln w="28575" cap="rnd">
              <a:solidFill>
                <a:schemeClr val="accent4"/>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2'!$B$47:$D$47</c:f>
              <c:numCache>
                <c:formatCode>General</c:formatCode>
                <c:ptCount val="3"/>
                <c:pt idx="0">
                  <c:v>2014</c:v>
                </c:pt>
                <c:pt idx="1">
                  <c:v>2015</c:v>
                </c:pt>
                <c:pt idx="2">
                  <c:v>2016</c:v>
                </c:pt>
              </c:numCache>
            </c:numRef>
          </c:cat>
          <c:val>
            <c:numRef>
              <c:f>'Iive 2'!$B$51:$D$51</c:f>
              <c:numCache>
                <c:formatCode>General</c:formatCode>
                <c:ptCount val="3"/>
                <c:pt idx="0">
                  <c:v>245</c:v>
                </c:pt>
                <c:pt idx="1">
                  <c:v>263</c:v>
                </c:pt>
                <c:pt idx="2">
                  <c:v>209</c:v>
                </c:pt>
              </c:numCache>
            </c:numRef>
          </c:val>
          <c:smooth val="0"/>
          <c:extLst>
            <c:ext xmlns:c16="http://schemas.microsoft.com/office/drawing/2014/chart" uri="{C3380CC4-5D6E-409C-BE32-E72D297353CC}">
              <c16:uniqueId val="{00000003-2B90-4EC9-B509-51786A5EA1B0}"/>
            </c:ext>
          </c:extLst>
        </c:ser>
        <c:ser>
          <c:idx val="4"/>
          <c:order val="4"/>
          <c:tx>
            <c:strRef>
              <c:f>'Iive 2'!$A$52</c:f>
              <c:strCache>
                <c:ptCount val="1"/>
                <c:pt idx="0">
                  <c:v>Piirkonnasisene liikumine</c:v>
                </c:pt>
              </c:strCache>
            </c:strRef>
          </c:tx>
          <c:spPr>
            <a:ln w="28575" cap="rnd">
              <a:solidFill>
                <a:schemeClr val="accent5"/>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'Iive 2'!$B$47:$D$47</c:f>
              <c:numCache>
                <c:formatCode>General</c:formatCode>
                <c:ptCount val="3"/>
                <c:pt idx="0">
                  <c:v>2014</c:v>
                </c:pt>
                <c:pt idx="1">
                  <c:v>2015</c:v>
                </c:pt>
                <c:pt idx="2">
                  <c:v>2016</c:v>
                </c:pt>
              </c:numCache>
            </c:numRef>
          </c:cat>
          <c:val>
            <c:numRef>
              <c:f>'Iive 2'!$B$52:$D$52</c:f>
              <c:numCache>
                <c:formatCode>General</c:formatCode>
                <c:ptCount val="3"/>
                <c:pt idx="0">
                  <c:v>71</c:v>
                </c:pt>
                <c:pt idx="1">
                  <c:v>73</c:v>
                </c:pt>
                <c:pt idx="2">
                  <c:v>77</c:v>
                </c:pt>
              </c:numCache>
            </c:numRef>
          </c:val>
          <c:smooth val="0"/>
          <c:extLst>
            <c:ext xmlns:c16="http://schemas.microsoft.com/office/drawing/2014/chart" uri="{C3380CC4-5D6E-409C-BE32-E72D297353CC}">
              <c16:uniqueId val="{00000004-2B90-4EC9-B509-51786A5EA1B0}"/>
            </c:ext>
          </c:extLst>
        </c:ser>
        <c:dLbls>
          <c:showLegendKey val="0"/>
          <c:showVal val="0"/>
          <c:showCatName val="0"/>
          <c:showSerName val="0"/>
          <c:showPercent val="0"/>
          <c:showBubbleSize val="0"/>
        </c:dLbls>
        <c:smooth val="0"/>
        <c:axId val="-2117380680"/>
        <c:axId val="-2117377064"/>
      </c:lineChart>
      <c:catAx>
        <c:axId val="-211738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377064"/>
        <c:crosses val="autoZero"/>
        <c:auto val="1"/>
        <c:lblAlgn val="ctr"/>
        <c:lblOffset val="100"/>
        <c:noMultiLvlLbl val="0"/>
      </c:catAx>
      <c:valAx>
        <c:axId val="-211737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380680"/>
        <c:crosses val="autoZero"/>
        <c:crossBetween val="between"/>
      </c:valAx>
      <c:spPr>
        <a:noFill/>
        <a:ln>
          <a:noFill/>
        </a:ln>
        <a:effectLst/>
      </c:spPr>
    </c:plotArea>
    <c:legend>
      <c:legendPos val="b"/>
      <c:layout>
        <c:manualLayout>
          <c:xMode val="edge"/>
          <c:yMode val="edge"/>
          <c:x val="3.6689833424081199E-2"/>
          <c:y val="0.77037935233839605"/>
          <c:w val="0.94455451416886904"/>
          <c:h val="0.20462808475299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Rändajate vanusjaotus</a:t>
            </a:r>
          </a:p>
        </c:rich>
      </c:tx>
      <c:overlay val="0"/>
      <c:spPr>
        <a:noFill/>
        <a:ln>
          <a:noFill/>
        </a:ln>
        <a:effectLst/>
      </c:spPr>
    </c:title>
    <c:autoTitleDeleted val="0"/>
    <c:plotArea>
      <c:layout/>
      <c:barChart>
        <c:barDir val="col"/>
        <c:grouping val="clustered"/>
        <c:varyColors val="0"/>
        <c:ser>
          <c:idx val="0"/>
          <c:order val="0"/>
          <c:tx>
            <c:strRef>
              <c:f>Ränne!$B$143</c:f>
              <c:strCache>
                <c:ptCount val="1"/>
                <c:pt idx="0">
                  <c:v>Saabus</c:v>
                </c:pt>
              </c:strCache>
            </c:strRef>
          </c:tx>
          <c:spPr>
            <a:solidFill>
              <a:schemeClr val="accent1"/>
            </a:solidFill>
            <a:ln>
              <a:noFill/>
            </a:ln>
            <a:effectLst/>
          </c:spPr>
          <c:invertIfNegative val="0"/>
          <c:cat>
            <c:strRef>
              <c:f>Ränne!$A$144:$A$160</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Ränne!$B$144:$B$160</c:f>
              <c:numCache>
                <c:formatCode>General</c:formatCode>
                <c:ptCount val="17"/>
                <c:pt idx="0">
                  <c:v>62</c:v>
                </c:pt>
                <c:pt idx="1">
                  <c:v>77</c:v>
                </c:pt>
                <c:pt idx="2">
                  <c:v>43</c:v>
                </c:pt>
                <c:pt idx="3">
                  <c:v>38</c:v>
                </c:pt>
                <c:pt idx="4">
                  <c:v>52</c:v>
                </c:pt>
                <c:pt idx="5">
                  <c:v>84</c:v>
                </c:pt>
                <c:pt idx="6">
                  <c:v>64</c:v>
                </c:pt>
                <c:pt idx="7">
                  <c:v>56</c:v>
                </c:pt>
                <c:pt idx="8">
                  <c:v>70</c:v>
                </c:pt>
                <c:pt idx="9">
                  <c:v>49</c:v>
                </c:pt>
                <c:pt idx="10">
                  <c:v>44</c:v>
                </c:pt>
                <c:pt idx="11">
                  <c:v>37</c:v>
                </c:pt>
                <c:pt idx="12">
                  <c:v>30</c:v>
                </c:pt>
                <c:pt idx="13">
                  <c:v>24</c:v>
                </c:pt>
                <c:pt idx="14">
                  <c:v>7</c:v>
                </c:pt>
                <c:pt idx="15">
                  <c:v>13</c:v>
                </c:pt>
                <c:pt idx="16">
                  <c:v>16</c:v>
                </c:pt>
              </c:numCache>
            </c:numRef>
          </c:val>
          <c:extLst>
            <c:ext xmlns:c16="http://schemas.microsoft.com/office/drawing/2014/chart" uri="{C3380CC4-5D6E-409C-BE32-E72D297353CC}">
              <c16:uniqueId val="{00000000-E0D8-442F-A596-1F4692A80B74}"/>
            </c:ext>
          </c:extLst>
        </c:ser>
        <c:ser>
          <c:idx val="1"/>
          <c:order val="1"/>
          <c:tx>
            <c:strRef>
              <c:f>Ränne!$C$143</c:f>
              <c:strCache>
                <c:ptCount val="1"/>
                <c:pt idx="0">
                  <c:v>Lahkus</c:v>
                </c:pt>
              </c:strCache>
            </c:strRef>
          </c:tx>
          <c:spPr>
            <a:solidFill>
              <a:schemeClr val="accent2"/>
            </a:solidFill>
            <a:ln>
              <a:noFill/>
            </a:ln>
            <a:effectLst/>
          </c:spPr>
          <c:invertIfNegative val="0"/>
          <c:cat>
            <c:strRef>
              <c:f>Ränne!$A$144:$A$160</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Ränne!$C$144:$C$160</c:f>
              <c:numCache>
                <c:formatCode>General</c:formatCode>
                <c:ptCount val="17"/>
                <c:pt idx="0">
                  <c:v>91</c:v>
                </c:pt>
                <c:pt idx="1">
                  <c:v>75</c:v>
                </c:pt>
                <c:pt idx="2">
                  <c:v>56</c:v>
                </c:pt>
                <c:pt idx="3">
                  <c:v>53</c:v>
                </c:pt>
                <c:pt idx="4">
                  <c:v>142</c:v>
                </c:pt>
                <c:pt idx="5">
                  <c:v>204</c:v>
                </c:pt>
                <c:pt idx="6">
                  <c:v>145</c:v>
                </c:pt>
                <c:pt idx="7">
                  <c:v>88</c:v>
                </c:pt>
                <c:pt idx="8">
                  <c:v>88</c:v>
                </c:pt>
                <c:pt idx="9">
                  <c:v>60</c:v>
                </c:pt>
                <c:pt idx="10">
                  <c:v>41</c:v>
                </c:pt>
                <c:pt idx="11">
                  <c:v>44</c:v>
                </c:pt>
                <c:pt idx="12">
                  <c:v>41</c:v>
                </c:pt>
                <c:pt idx="13">
                  <c:v>28</c:v>
                </c:pt>
                <c:pt idx="14">
                  <c:v>13</c:v>
                </c:pt>
                <c:pt idx="15">
                  <c:v>15</c:v>
                </c:pt>
                <c:pt idx="16">
                  <c:v>27</c:v>
                </c:pt>
              </c:numCache>
            </c:numRef>
          </c:val>
          <c:extLst>
            <c:ext xmlns:c16="http://schemas.microsoft.com/office/drawing/2014/chart" uri="{C3380CC4-5D6E-409C-BE32-E72D297353CC}">
              <c16:uniqueId val="{00000001-E0D8-442F-A596-1F4692A80B74}"/>
            </c:ext>
          </c:extLst>
        </c:ser>
        <c:ser>
          <c:idx val="2"/>
          <c:order val="2"/>
          <c:tx>
            <c:strRef>
              <c:f>Ränne!$D$143</c:f>
              <c:strCache>
                <c:ptCount val="1"/>
                <c:pt idx="0">
                  <c:v>Siseränne</c:v>
                </c:pt>
              </c:strCache>
            </c:strRef>
          </c:tx>
          <c:spPr>
            <a:solidFill>
              <a:schemeClr val="accent3"/>
            </a:solidFill>
            <a:ln>
              <a:noFill/>
            </a:ln>
            <a:effectLst/>
          </c:spPr>
          <c:invertIfNegative val="0"/>
          <c:cat>
            <c:strRef>
              <c:f>Ränne!$A$144:$A$160</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Ränne!$D$144:$D$160</c:f>
              <c:numCache>
                <c:formatCode>General</c:formatCode>
                <c:ptCount val="17"/>
                <c:pt idx="0">
                  <c:v>49</c:v>
                </c:pt>
                <c:pt idx="1">
                  <c:v>61</c:v>
                </c:pt>
                <c:pt idx="2">
                  <c:v>42</c:v>
                </c:pt>
                <c:pt idx="3">
                  <c:v>22</c:v>
                </c:pt>
                <c:pt idx="4">
                  <c:v>50</c:v>
                </c:pt>
                <c:pt idx="5">
                  <c:v>81</c:v>
                </c:pt>
                <c:pt idx="6">
                  <c:v>62</c:v>
                </c:pt>
                <c:pt idx="7">
                  <c:v>63</c:v>
                </c:pt>
                <c:pt idx="8">
                  <c:v>51</c:v>
                </c:pt>
                <c:pt idx="9">
                  <c:v>35</c:v>
                </c:pt>
                <c:pt idx="10">
                  <c:v>29</c:v>
                </c:pt>
                <c:pt idx="11">
                  <c:v>50</c:v>
                </c:pt>
                <c:pt idx="12">
                  <c:v>34</c:v>
                </c:pt>
                <c:pt idx="13">
                  <c:v>34</c:v>
                </c:pt>
                <c:pt idx="14">
                  <c:v>11</c:v>
                </c:pt>
                <c:pt idx="15">
                  <c:v>15</c:v>
                </c:pt>
                <c:pt idx="16">
                  <c:v>29</c:v>
                </c:pt>
              </c:numCache>
            </c:numRef>
          </c:val>
          <c:extLst>
            <c:ext xmlns:c16="http://schemas.microsoft.com/office/drawing/2014/chart" uri="{C3380CC4-5D6E-409C-BE32-E72D297353CC}">
              <c16:uniqueId val="{00000002-E0D8-442F-A596-1F4692A80B74}"/>
            </c:ext>
          </c:extLst>
        </c:ser>
        <c:dLbls>
          <c:showLegendKey val="0"/>
          <c:showVal val="0"/>
          <c:showCatName val="0"/>
          <c:showSerName val="0"/>
          <c:showPercent val="0"/>
          <c:showBubbleSize val="0"/>
        </c:dLbls>
        <c:gapWidth val="219"/>
        <c:overlap val="-27"/>
        <c:axId val="-2117579128"/>
        <c:axId val="-2117571048"/>
      </c:barChart>
      <c:catAx>
        <c:axId val="-211757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71048"/>
        <c:crosses val="autoZero"/>
        <c:auto val="1"/>
        <c:lblAlgn val="ctr"/>
        <c:lblOffset val="100"/>
        <c:noMultiLvlLbl val="0"/>
      </c:catAx>
      <c:valAx>
        <c:axId val="-211757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7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Lahkujate sooline jaotus</a:t>
            </a:r>
          </a:p>
        </c:rich>
      </c:tx>
      <c:overlay val="0"/>
      <c:spPr>
        <a:noFill/>
        <a:ln>
          <a:noFill/>
        </a:ln>
        <a:effectLst/>
      </c:spPr>
    </c:title>
    <c:autoTitleDeleted val="0"/>
    <c:plotArea>
      <c:layout/>
      <c:scatterChart>
        <c:scatterStyle val="lineMarker"/>
        <c:varyColors val="0"/>
        <c:ser>
          <c:idx val="0"/>
          <c:order val="0"/>
          <c:tx>
            <c:strRef>
              <c:f>Ränne!$AO$44</c:f>
              <c:strCache>
                <c:ptCount val="1"/>
                <c:pt idx="0">
                  <c:v>Mees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Ränne!$AN$45:$AN$140</c:f>
              <c:numCache>
                <c:formatCode>#,##0</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Ränne!$AO$45:$AO$140</c:f>
              <c:numCache>
                <c:formatCode>General</c:formatCode>
                <c:ptCount val="96"/>
                <c:pt idx="0">
                  <c:v>2</c:v>
                </c:pt>
                <c:pt idx="1">
                  <c:v>3</c:v>
                </c:pt>
                <c:pt idx="2">
                  <c:v>13</c:v>
                </c:pt>
                <c:pt idx="3">
                  <c:v>13</c:v>
                </c:pt>
                <c:pt idx="4">
                  <c:v>4</c:v>
                </c:pt>
                <c:pt idx="5">
                  <c:v>3</c:v>
                </c:pt>
                <c:pt idx="6">
                  <c:v>2</c:v>
                </c:pt>
                <c:pt idx="7">
                  <c:v>3</c:v>
                </c:pt>
                <c:pt idx="8">
                  <c:v>7</c:v>
                </c:pt>
                <c:pt idx="9">
                  <c:v>4</c:v>
                </c:pt>
                <c:pt idx="10">
                  <c:v>6</c:v>
                </c:pt>
                <c:pt idx="11">
                  <c:v>1</c:v>
                </c:pt>
                <c:pt idx="12">
                  <c:v>5</c:v>
                </c:pt>
                <c:pt idx="13">
                  <c:v>2</c:v>
                </c:pt>
                <c:pt idx="14">
                  <c:v>2</c:v>
                </c:pt>
                <c:pt idx="15">
                  <c:v>2</c:v>
                </c:pt>
                <c:pt idx="16">
                  <c:v>3</c:v>
                </c:pt>
                <c:pt idx="17">
                  <c:v>2</c:v>
                </c:pt>
                <c:pt idx="18">
                  <c:v>2</c:v>
                </c:pt>
                <c:pt idx="19">
                  <c:v>8</c:v>
                </c:pt>
                <c:pt idx="20">
                  <c:v>16</c:v>
                </c:pt>
                <c:pt idx="21">
                  <c:v>17</c:v>
                </c:pt>
                <c:pt idx="22">
                  <c:v>11</c:v>
                </c:pt>
                <c:pt idx="23">
                  <c:v>15</c:v>
                </c:pt>
                <c:pt idx="24">
                  <c:v>25</c:v>
                </c:pt>
                <c:pt idx="25">
                  <c:v>17</c:v>
                </c:pt>
                <c:pt idx="26">
                  <c:v>22</c:v>
                </c:pt>
                <c:pt idx="27">
                  <c:v>20</c:v>
                </c:pt>
                <c:pt idx="28">
                  <c:v>18</c:v>
                </c:pt>
                <c:pt idx="29">
                  <c:v>20</c:v>
                </c:pt>
                <c:pt idx="30">
                  <c:v>9</c:v>
                </c:pt>
                <c:pt idx="31">
                  <c:v>13</c:v>
                </c:pt>
                <c:pt idx="32">
                  <c:v>15</c:v>
                </c:pt>
                <c:pt idx="33">
                  <c:v>11</c:v>
                </c:pt>
                <c:pt idx="34">
                  <c:v>9</c:v>
                </c:pt>
                <c:pt idx="35">
                  <c:v>4</c:v>
                </c:pt>
                <c:pt idx="36">
                  <c:v>5</c:v>
                </c:pt>
                <c:pt idx="37">
                  <c:v>3</c:v>
                </c:pt>
                <c:pt idx="38">
                  <c:v>8</c:v>
                </c:pt>
                <c:pt idx="39">
                  <c:v>3</c:v>
                </c:pt>
                <c:pt idx="40">
                  <c:v>5</c:v>
                </c:pt>
                <c:pt idx="41">
                  <c:v>7</c:v>
                </c:pt>
                <c:pt idx="42">
                  <c:v>4</c:v>
                </c:pt>
                <c:pt idx="43">
                  <c:v>3</c:v>
                </c:pt>
                <c:pt idx="44">
                  <c:v>3</c:v>
                </c:pt>
                <c:pt idx="45">
                  <c:v>4</c:v>
                </c:pt>
                <c:pt idx="46">
                  <c:v>5</c:v>
                </c:pt>
                <c:pt idx="47">
                  <c:v>7</c:v>
                </c:pt>
                <c:pt idx="48">
                  <c:v>6</c:v>
                </c:pt>
                <c:pt idx="49">
                  <c:v>3</c:v>
                </c:pt>
                <c:pt idx="50">
                  <c:v>3</c:v>
                </c:pt>
                <c:pt idx="51">
                  <c:v>3</c:v>
                </c:pt>
                <c:pt idx="52">
                  <c:v>2</c:v>
                </c:pt>
                <c:pt idx="53">
                  <c:v>6</c:v>
                </c:pt>
                <c:pt idx="54">
                  <c:v>4</c:v>
                </c:pt>
                <c:pt idx="55">
                  <c:v>4</c:v>
                </c:pt>
                <c:pt idx="56">
                  <c:v>4</c:v>
                </c:pt>
                <c:pt idx="57">
                  <c:v>4</c:v>
                </c:pt>
                <c:pt idx="58">
                  <c:v>3</c:v>
                </c:pt>
                <c:pt idx="59">
                  <c:v>5</c:v>
                </c:pt>
                <c:pt idx="60">
                  <c:v>5</c:v>
                </c:pt>
                <c:pt idx="61">
                  <c:v>2</c:v>
                </c:pt>
                <c:pt idx="62">
                  <c:v>3</c:v>
                </c:pt>
                <c:pt idx="63">
                  <c:v>4</c:v>
                </c:pt>
                <c:pt idx="64">
                  <c:v>3</c:v>
                </c:pt>
                <c:pt idx="65">
                  <c:v>4</c:v>
                </c:pt>
                <c:pt idx="66">
                  <c:v>2</c:v>
                </c:pt>
                <c:pt idx="67">
                  <c:v>3</c:v>
                </c:pt>
                <c:pt idx="68">
                  <c:v>2</c:v>
                </c:pt>
                <c:pt idx="69">
                  <c:v>4</c:v>
                </c:pt>
                <c:pt idx="70">
                  <c:v>5</c:v>
                </c:pt>
                <c:pt idx="72">
                  <c:v>1</c:v>
                </c:pt>
                <c:pt idx="73">
                  <c:v>3</c:v>
                </c:pt>
                <c:pt idx="75">
                  <c:v>1</c:v>
                </c:pt>
                <c:pt idx="76">
                  <c:v>1</c:v>
                </c:pt>
                <c:pt idx="78">
                  <c:v>5</c:v>
                </c:pt>
                <c:pt idx="79">
                  <c:v>2</c:v>
                </c:pt>
                <c:pt idx="80">
                  <c:v>2</c:v>
                </c:pt>
                <c:pt idx="81">
                  <c:v>1</c:v>
                </c:pt>
                <c:pt idx="82">
                  <c:v>2</c:v>
                </c:pt>
                <c:pt idx="83">
                  <c:v>1</c:v>
                </c:pt>
                <c:pt idx="84">
                  <c:v>2</c:v>
                </c:pt>
                <c:pt idx="85">
                  <c:v>2</c:v>
                </c:pt>
                <c:pt idx="86">
                  <c:v>1</c:v>
                </c:pt>
                <c:pt idx="87">
                  <c:v>1</c:v>
                </c:pt>
                <c:pt idx="88">
                  <c:v>1</c:v>
                </c:pt>
                <c:pt idx="89">
                  <c:v>1</c:v>
                </c:pt>
                <c:pt idx="90">
                  <c:v>2</c:v>
                </c:pt>
                <c:pt idx="91">
                  <c:v>1</c:v>
                </c:pt>
                <c:pt idx="95">
                  <c:v>1</c:v>
                </c:pt>
              </c:numCache>
            </c:numRef>
          </c:yVal>
          <c:smooth val="0"/>
          <c:extLst>
            <c:ext xmlns:c16="http://schemas.microsoft.com/office/drawing/2014/chart" uri="{C3380CC4-5D6E-409C-BE32-E72D297353CC}">
              <c16:uniqueId val="{00000000-2028-4D86-882C-9A10D4472474}"/>
            </c:ext>
          </c:extLst>
        </c:ser>
        <c:ser>
          <c:idx val="1"/>
          <c:order val="1"/>
          <c:tx>
            <c:strRef>
              <c:f>Ränne!$AP$44</c:f>
              <c:strCache>
                <c:ptCount val="1"/>
                <c:pt idx="0">
                  <c:v>Naine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Ränne!$AN$45:$AN$140</c:f>
              <c:numCache>
                <c:formatCode>#,##0</c:formatCode>
                <c:ptCount val="9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numCache>
            </c:numRef>
          </c:xVal>
          <c:yVal>
            <c:numRef>
              <c:f>Ränne!$AP$45:$AP$140</c:f>
              <c:numCache>
                <c:formatCode>General</c:formatCode>
                <c:ptCount val="96"/>
                <c:pt idx="0">
                  <c:v>2</c:v>
                </c:pt>
                <c:pt idx="1">
                  <c:v>5</c:v>
                </c:pt>
                <c:pt idx="2">
                  <c:v>9</c:v>
                </c:pt>
                <c:pt idx="3">
                  <c:v>7</c:v>
                </c:pt>
                <c:pt idx="4">
                  <c:v>12</c:v>
                </c:pt>
                <c:pt idx="5">
                  <c:v>5</c:v>
                </c:pt>
                <c:pt idx="6">
                  <c:v>9</c:v>
                </c:pt>
                <c:pt idx="7">
                  <c:v>9</c:v>
                </c:pt>
                <c:pt idx="8">
                  <c:v>5</c:v>
                </c:pt>
                <c:pt idx="9">
                  <c:v>2</c:v>
                </c:pt>
                <c:pt idx="10">
                  <c:v>10</c:v>
                </c:pt>
                <c:pt idx="11">
                  <c:v>2</c:v>
                </c:pt>
                <c:pt idx="12">
                  <c:v>5</c:v>
                </c:pt>
                <c:pt idx="13">
                  <c:v>2</c:v>
                </c:pt>
                <c:pt idx="14">
                  <c:v>3</c:v>
                </c:pt>
                <c:pt idx="15">
                  <c:v>5</c:v>
                </c:pt>
                <c:pt idx="16">
                  <c:v>3</c:v>
                </c:pt>
                <c:pt idx="17">
                  <c:v>5</c:v>
                </c:pt>
                <c:pt idx="18">
                  <c:v>2</c:v>
                </c:pt>
                <c:pt idx="19">
                  <c:v>7</c:v>
                </c:pt>
                <c:pt idx="20">
                  <c:v>12</c:v>
                </c:pt>
                <c:pt idx="21">
                  <c:v>6</c:v>
                </c:pt>
                <c:pt idx="22">
                  <c:v>7</c:v>
                </c:pt>
                <c:pt idx="23">
                  <c:v>9</c:v>
                </c:pt>
                <c:pt idx="24">
                  <c:v>16</c:v>
                </c:pt>
                <c:pt idx="25">
                  <c:v>16</c:v>
                </c:pt>
                <c:pt idx="26">
                  <c:v>22</c:v>
                </c:pt>
                <c:pt idx="27">
                  <c:v>14</c:v>
                </c:pt>
                <c:pt idx="28">
                  <c:v>9</c:v>
                </c:pt>
                <c:pt idx="29">
                  <c:v>20</c:v>
                </c:pt>
                <c:pt idx="30">
                  <c:v>14</c:v>
                </c:pt>
                <c:pt idx="31">
                  <c:v>10</c:v>
                </c:pt>
                <c:pt idx="32">
                  <c:v>14</c:v>
                </c:pt>
                <c:pt idx="33">
                  <c:v>20</c:v>
                </c:pt>
                <c:pt idx="34">
                  <c:v>16</c:v>
                </c:pt>
                <c:pt idx="35">
                  <c:v>6</c:v>
                </c:pt>
                <c:pt idx="36">
                  <c:v>10</c:v>
                </c:pt>
                <c:pt idx="37">
                  <c:v>12</c:v>
                </c:pt>
                <c:pt idx="38">
                  <c:v>6</c:v>
                </c:pt>
                <c:pt idx="39">
                  <c:v>12</c:v>
                </c:pt>
                <c:pt idx="40">
                  <c:v>11</c:v>
                </c:pt>
                <c:pt idx="41">
                  <c:v>8</c:v>
                </c:pt>
                <c:pt idx="42">
                  <c:v>9</c:v>
                </c:pt>
                <c:pt idx="43">
                  <c:v>9</c:v>
                </c:pt>
                <c:pt idx="44">
                  <c:v>6</c:v>
                </c:pt>
                <c:pt idx="45">
                  <c:v>5</c:v>
                </c:pt>
                <c:pt idx="46">
                  <c:v>5</c:v>
                </c:pt>
                <c:pt idx="47">
                  <c:v>4</c:v>
                </c:pt>
                <c:pt idx="48">
                  <c:v>5</c:v>
                </c:pt>
                <c:pt idx="49">
                  <c:v>5</c:v>
                </c:pt>
                <c:pt idx="50">
                  <c:v>4</c:v>
                </c:pt>
                <c:pt idx="51">
                  <c:v>2</c:v>
                </c:pt>
                <c:pt idx="52">
                  <c:v>3</c:v>
                </c:pt>
                <c:pt idx="53">
                  <c:v>2</c:v>
                </c:pt>
                <c:pt idx="54">
                  <c:v>3</c:v>
                </c:pt>
                <c:pt idx="55">
                  <c:v>5</c:v>
                </c:pt>
                <c:pt idx="56">
                  <c:v>3</c:v>
                </c:pt>
                <c:pt idx="57">
                  <c:v>2</c:v>
                </c:pt>
                <c:pt idx="58">
                  <c:v>3</c:v>
                </c:pt>
                <c:pt idx="59">
                  <c:v>5</c:v>
                </c:pt>
                <c:pt idx="60">
                  <c:v>2</c:v>
                </c:pt>
                <c:pt idx="61">
                  <c:v>2</c:v>
                </c:pt>
                <c:pt idx="63">
                  <c:v>6</c:v>
                </c:pt>
                <c:pt idx="64">
                  <c:v>3</c:v>
                </c:pt>
                <c:pt idx="65">
                  <c:v>1</c:v>
                </c:pt>
                <c:pt idx="66">
                  <c:v>1</c:v>
                </c:pt>
                <c:pt idx="67">
                  <c:v>2</c:v>
                </c:pt>
                <c:pt idx="68">
                  <c:v>2</c:v>
                </c:pt>
                <c:pt idx="69">
                  <c:v>1</c:v>
                </c:pt>
                <c:pt idx="70">
                  <c:v>2</c:v>
                </c:pt>
                <c:pt idx="71">
                  <c:v>1</c:v>
                </c:pt>
                <c:pt idx="78">
                  <c:v>1</c:v>
                </c:pt>
                <c:pt idx="79">
                  <c:v>1</c:v>
                </c:pt>
                <c:pt idx="80">
                  <c:v>2</c:v>
                </c:pt>
                <c:pt idx="81">
                  <c:v>2</c:v>
                </c:pt>
                <c:pt idx="91">
                  <c:v>1</c:v>
                </c:pt>
              </c:numCache>
            </c:numRef>
          </c:yVal>
          <c:smooth val="0"/>
          <c:extLst>
            <c:ext xmlns:c16="http://schemas.microsoft.com/office/drawing/2014/chart" uri="{C3380CC4-5D6E-409C-BE32-E72D297353CC}">
              <c16:uniqueId val="{00000001-2028-4D86-882C-9A10D4472474}"/>
            </c:ext>
          </c:extLst>
        </c:ser>
        <c:dLbls>
          <c:showLegendKey val="0"/>
          <c:showVal val="0"/>
          <c:showCatName val="0"/>
          <c:showSerName val="0"/>
          <c:showPercent val="0"/>
          <c:showBubbleSize val="0"/>
        </c:dLbls>
        <c:axId val="-2117279144"/>
        <c:axId val="-2117116648"/>
      </c:scatterChart>
      <c:valAx>
        <c:axId val="-211727914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116648"/>
        <c:crosses val="autoZero"/>
        <c:crossBetween val="midCat"/>
        <c:majorUnit val="10"/>
      </c:valAx>
      <c:valAx>
        <c:axId val="-21171166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17279144"/>
        <c:crosses val="autoZero"/>
        <c:crossBetween val="midCat"/>
        <c:majorUnit val="0.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Ränne!$AL$45</c:f>
              <c:strCache>
                <c:ptCount val="1"/>
                <c:pt idx="0">
                  <c:v>Rändesaldo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Ränne!$AK$46:$AK$52</c:f>
              <c:strCache>
                <c:ptCount val="7"/>
                <c:pt idx="0">
                  <c:v>Teadmata</c:v>
                </c:pt>
                <c:pt idx="1">
                  <c:v>Tartu linn</c:v>
                </c:pt>
                <c:pt idx="2">
                  <c:v>Rakvere linn</c:v>
                </c:pt>
                <c:pt idx="3">
                  <c:v>Jõhvi vald</c:v>
                </c:pt>
                <c:pt idx="4">
                  <c:v>Soome</c:v>
                </c:pt>
                <c:pt idx="5">
                  <c:v>Kohtla-Järve linn</c:v>
                </c:pt>
                <c:pt idx="6">
                  <c:v>Tallinn</c:v>
                </c:pt>
              </c:strCache>
            </c:strRef>
          </c:cat>
          <c:val>
            <c:numRef>
              <c:f>Ränne!$AL$46:$AL$52</c:f>
              <c:numCache>
                <c:formatCode>General</c:formatCode>
                <c:ptCount val="7"/>
                <c:pt idx="0">
                  <c:v>25</c:v>
                </c:pt>
                <c:pt idx="1">
                  <c:v>-12</c:v>
                </c:pt>
                <c:pt idx="2">
                  <c:v>-20</c:v>
                </c:pt>
                <c:pt idx="3">
                  <c:v>-31</c:v>
                </c:pt>
                <c:pt idx="4">
                  <c:v>-46</c:v>
                </c:pt>
                <c:pt idx="5">
                  <c:v>-47</c:v>
                </c:pt>
                <c:pt idx="6">
                  <c:v>-200</c:v>
                </c:pt>
              </c:numCache>
            </c:numRef>
          </c:val>
          <c:extLst>
            <c:ext xmlns:c16="http://schemas.microsoft.com/office/drawing/2014/chart" uri="{C3380CC4-5D6E-409C-BE32-E72D297353CC}">
              <c16:uniqueId val="{00000000-EBDD-497A-90C6-6129D074C009}"/>
            </c:ext>
          </c:extLst>
        </c:ser>
        <c:dLbls>
          <c:showLegendKey val="0"/>
          <c:showVal val="0"/>
          <c:showCatName val="0"/>
          <c:showSerName val="0"/>
          <c:showPercent val="0"/>
          <c:showBubbleSize val="0"/>
        </c:dLbls>
        <c:gapWidth val="182"/>
        <c:axId val="2118391432"/>
        <c:axId val="2118181192"/>
      </c:barChart>
      <c:catAx>
        <c:axId val="2118391432"/>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181192"/>
        <c:crosses val="autoZero"/>
        <c:auto val="1"/>
        <c:lblAlgn val="ctr"/>
        <c:lblOffset val="100"/>
        <c:noMultiLvlLbl val="0"/>
      </c:catAx>
      <c:valAx>
        <c:axId val="2118181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391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tx>
            <c:strRef>
              <c:f>Vanusstruktuur!$F$49</c:f>
              <c:strCache>
                <c:ptCount val="1"/>
                <c:pt idx="0">
                  <c:v>Naised 2049</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Vanusstruktuur!$E$50:$E$66</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Vanusstruktuur!$F$50:$F$66</c:f>
              <c:numCache>
                <c:formatCode>0%</c:formatCode>
                <c:ptCount val="17"/>
                <c:pt idx="0">
                  <c:v>-3.5324469140702502E-2</c:v>
                </c:pt>
                <c:pt idx="1">
                  <c:v>-3.7507441952768401E-2</c:v>
                </c:pt>
                <c:pt idx="2">
                  <c:v>-3.9888866838658499E-2</c:v>
                </c:pt>
                <c:pt idx="3">
                  <c:v>-4.1873387576900199E-2</c:v>
                </c:pt>
                <c:pt idx="4">
                  <c:v>-4.4056360388966098E-2</c:v>
                </c:pt>
                <c:pt idx="5">
                  <c:v>-4.7628497717801199E-2</c:v>
                </c:pt>
                <c:pt idx="6">
                  <c:v>-5.0605278825163698E-2</c:v>
                </c:pt>
                <c:pt idx="7">
                  <c:v>-5.6558841039888903E-2</c:v>
                </c:pt>
                <c:pt idx="8">
                  <c:v>-5.8543361778130597E-2</c:v>
                </c:pt>
                <c:pt idx="9">
                  <c:v>-5.4375868227822997E-2</c:v>
                </c:pt>
                <c:pt idx="10">
                  <c:v>-5.8741813851954698E-2</c:v>
                </c:pt>
                <c:pt idx="11">
                  <c:v>-7.6800952569954298E-2</c:v>
                </c:pt>
                <c:pt idx="12">
                  <c:v>-7.7197856717602695E-2</c:v>
                </c:pt>
                <c:pt idx="13">
                  <c:v>-5.6757293113712998E-2</c:v>
                </c:pt>
                <c:pt idx="14">
                  <c:v>-6.1123238737844802E-2</c:v>
                </c:pt>
                <c:pt idx="15">
                  <c:v>-6.7473705100218301E-2</c:v>
                </c:pt>
                <c:pt idx="16">
                  <c:v>-0.13554276642190899</c:v>
                </c:pt>
              </c:numCache>
            </c:numRef>
          </c:val>
          <c:extLst>
            <c:ext xmlns:c16="http://schemas.microsoft.com/office/drawing/2014/chart" uri="{C3380CC4-5D6E-409C-BE32-E72D297353CC}">
              <c16:uniqueId val="{00000000-96A3-44BF-A1C5-8E47E2C355BD}"/>
            </c:ext>
          </c:extLst>
        </c:ser>
        <c:ser>
          <c:idx val="2"/>
          <c:order val="1"/>
          <c:tx>
            <c:strRef>
              <c:f>Vanusstruktuur!$G$49</c:f>
              <c:strCache>
                <c:ptCount val="1"/>
                <c:pt idx="0">
                  <c:v>Mehed 2049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Vanusstruktuur!$E$50:$E$66</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Vanusstruktuur!$G$50:$G$66</c:f>
              <c:numCache>
                <c:formatCode>0%</c:formatCode>
                <c:ptCount val="17"/>
                <c:pt idx="0">
                  <c:v>4.0695116586009702E-2</c:v>
                </c:pt>
                <c:pt idx="1">
                  <c:v>4.28948526176859E-2</c:v>
                </c:pt>
                <c:pt idx="2">
                  <c:v>4.5754509458864903E-2</c:v>
                </c:pt>
                <c:pt idx="3">
                  <c:v>4.7734271887373503E-2</c:v>
                </c:pt>
                <c:pt idx="4">
                  <c:v>4.99340079190497E-2</c:v>
                </c:pt>
                <c:pt idx="5">
                  <c:v>5.3673559172899198E-2</c:v>
                </c:pt>
                <c:pt idx="6">
                  <c:v>5.89529256489221E-2</c:v>
                </c:pt>
                <c:pt idx="7">
                  <c:v>7.5450945886493606E-2</c:v>
                </c:pt>
                <c:pt idx="8">
                  <c:v>6.7751869775626902E-2</c:v>
                </c:pt>
                <c:pt idx="9">
                  <c:v>5.7633084029916397E-2</c:v>
                </c:pt>
                <c:pt idx="10">
                  <c:v>6.7311922569291693E-2</c:v>
                </c:pt>
                <c:pt idx="11">
                  <c:v>9.0629124505059402E-2</c:v>
                </c:pt>
                <c:pt idx="12">
                  <c:v>8.3150021997360296E-2</c:v>
                </c:pt>
                <c:pt idx="13">
                  <c:v>6.2032556093268798E-2</c:v>
                </c:pt>
                <c:pt idx="14">
                  <c:v>5.3013638363396398E-2</c:v>
                </c:pt>
                <c:pt idx="15">
                  <c:v>5.2353717553893502E-2</c:v>
                </c:pt>
                <c:pt idx="16">
                  <c:v>5.1033875934887798E-2</c:v>
                </c:pt>
              </c:numCache>
            </c:numRef>
          </c:val>
          <c:extLst>
            <c:ext xmlns:c16="http://schemas.microsoft.com/office/drawing/2014/chart" uri="{C3380CC4-5D6E-409C-BE32-E72D297353CC}">
              <c16:uniqueId val="{00000001-96A3-44BF-A1C5-8E47E2C355BD}"/>
            </c:ext>
          </c:extLst>
        </c:ser>
        <c:dLbls>
          <c:showLegendKey val="0"/>
          <c:showVal val="0"/>
          <c:showCatName val="0"/>
          <c:showSerName val="0"/>
          <c:showPercent val="0"/>
          <c:showBubbleSize val="0"/>
        </c:dLbls>
        <c:gapWidth val="0"/>
        <c:overlap val="95"/>
        <c:axId val="-2115129992"/>
        <c:axId val="-2115518872"/>
      </c:barChart>
      <c:catAx>
        <c:axId val="-2115129992"/>
        <c:scaling>
          <c:orientation val="minMax"/>
        </c:scaling>
        <c:delete val="0"/>
        <c:axPos val="r"/>
        <c:majorGridlines>
          <c:spPr>
            <a:ln w="9525" cap="flat" cmpd="sng" algn="ctr">
              <a:noFill/>
              <a:round/>
            </a:ln>
            <a:effectLst/>
          </c:spPr>
        </c:majorGridlines>
        <c:minorGridlines>
          <c:spPr>
            <a:ln w="3175" cap="flat" cmpd="sng" algn="ctr">
              <a:solidFill>
                <a:schemeClr val="bg2">
                  <a:lumMod val="50000"/>
                  <a:alpha val="10000"/>
                </a:schemeClr>
              </a:solidFill>
              <a:round/>
            </a:ln>
            <a:effectLst/>
          </c:spPr>
        </c:minorGridlines>
        <c:numFmt formatCode="0.0%"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15518872"/>
        <c:crosses val="max"/>
        <c:auto val="1"/>
        <c:lblAlgn val="ctr"/>
        <c:lblOffset val="100"/>
        <c:noMultiLvlLbl val="0"/>
      </c:catAx>
      <c:valAx>
        <c:axId val="-2115518872"/>
        <c:scaling>
          <c:orientation val="minMax"/>
          <c:max val="0.15"/>
          <c:min val="-0.15"/>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15129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OÜ Cumulus Consulting</Company>
  <LinksUpToDate>false</LinksUpToDate>
  <CharactersWithSpaces>11539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Laan</dc:creator>
  <cp:keywords/>
  <dc:description/>
  <cp:lastModifiedBy>Windows User</cp:lastModifiedBy>
  <cp:revision>2</cp:revision>
  <dcterms:created xsi:type="dcterms:W3CDTF">2020-06-02T12:45:00Z</dcterms:created>
  <dcterms:modified xsi:type="dcterms:W3CDTF">2020-06-02T12:45:00Z</dcterms:modified>
  <cp:category/>
</cp:coreProperties>
</file>