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6895" w14:textId="701E585F" w:rsidR="00E26D2C" w:rsidRPr="00D80A58" w:rsidRDefault="00E26D2C" w:rsidP="00D80A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et-EE"/>
          <w14:ligatures w14:val="none"/>
        </w:rPr>
      </w:pPr>
      <w:r w:rsidRPr="00D80A58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et-EE"/>
          <w14:ligatures w14:val="none"/>
        </w:rPr>
        <w:t xml:space="preserve">LÜGANUSE  </w:t>
      </w:r>
      <w:r w:rsidR="004A6130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et-EE"/>
          <w14:ligatures w14:val="none"/>
        </w:rPr>
        <w:t>VALLA</w:t>
      </w:r>
      <w:r w:rsidRPr="00D80A58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et-EE"/>
          <w14:ligatures w14:val="none"/>
        </w:rPr>
        <w:t>V</w:t>
      </w:r>
      <w:r w:rsidR="00BB7A22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lang w:eastAsia="et-EE"/>
          <w14:ligatures w14:val="none"/>
        </w:rPr>
        <w:t>OLIKOGU</w:t>
      </w:r>
    </w:p>
    <w:p w14:paraId="687CE603" w14:textId="1DD81B4D" w:rsidR="00E26D2C" w:rsidRPr="00D80A58" w:rsidRDefault="00E26D2C" w:rsidP="00D80A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</w:pPr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 xml:space="preserve">M Ä </w:t>
      </w:r>
      <w:proofErr w:type="spellStart"/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>Ä</w:t>
      </w:r>
      <w:proofErr w:type="spellEnd"/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 xml:space="preserve"> R U S</w:t>
      </w:r>
    </w:p>
    <w:p w14:paraId="2C907E33" w14:textId="77777777" w:rsidR="00E26D2C" w:rsidRPr="00D80A58" w:rsidRDefault="00E26D2C" w:rsidP="00D80A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</w:pPr>
    </w:p>
    <w:p w14:paraId="26AB937D" w14:textId="3E8D4683" w:rsidR="00E26D2C" w:rsidRPr="00D80A58" w:rsidRDefault="000D70E2" w:rsidP="00D80A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</w:pPr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 xml:space="preserve">Kiviõli  </w:t>
      </w:r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ab/>
      </w:r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ab/>
      </w:r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ab/>
      </w:r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ab/>
      </w:r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ab/>
      </w:r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ab/>
      </w:r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ab/>
      </w:r>
      <w:r w:rsidR="00D50B8E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>jaanuar</w:t>
      </w:r>
      <w:r w:rsidRPr="00D80A58">
        <w:rPr>
          <w:rFonts w:ascii="Times New Roman" w:eastAsia="Times New Roman" w:hAnsi="Times New Roman" w:cs="Times New Roman"/>
          <w:color w:val="000000"/>
          <w:kern w:val="36"/>
          <w:lang w:eastAsia="et-EE"/>
          <w14:ligatures w14:val="none"/>
        </w:rPr>
        <w:t xml:space="preserve"> 2025 nr EELNÕU</w:t>
      </w:r>
    </w:p>
    <w:p w14:paraId="652F1D27" w14:textId="77777777" w:rsidR="000D70E2" w:rsidRPr="00D80A58" w:rsidRDefault="000D70E2" w:rsidP="00D80A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</w:pPr>
    </w:p>
    <w:p w14:paraId="09195C7D" w14:textId="1E679C55" w:rsidR="00E26D2C" w:rsidRPr="00D80A58" w:rsidRDefault="00E26D2C" w:rsidP="00D80A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</w:pPr>
      <w:r w:rsidRPr="00D80A58"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  <w:t>Lüganuse</w:t>
      </w:r>
      <w:r w:rsidRPr="00E26D2C"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  <w:t xml:space="preserve"> </w:t>
      </w:r>
      <w:r w:rsidR="000D70E2" w:rsidRPr="00D80A58"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  <w:t>Vallavalitsuse</w:t>
      </w:r>
      <w:r w:rsidRPr="00E26D2C"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  <w:t xml:space="preserve"> hallatavate asutuste </w:t>
      </w:r>
      <w:r w:rsidRPr="00D80A58"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  <w:t xml:space="preserve">töötajate </w:t>
      </w:r>
    </w:p>
    <w:p w14:paraId="3607328D" w14:textId="16A4CBCC" w:rsidR="00E26D2C" w:rsidRPr="00E26D2C" w:rsidRDefault="00E26D2C" w:rsidP="00D80A5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</w:pPr>
      <w:r w:rsidRPr="00E26D2C">
        <w:rPr>
          <w:rFonts w:ascii="Times New Roman" w:eastAsia="Times New Roman" w:hAnsi="Times New Roman" w:cs="Times New Roman"/>
          <w:b/>
          <w:bCs/>
          <w:color w:val="000000"/>
          <w:kern w:val="36"/>
          <w:lang w:eastAsia="et-EE"/>
          <w14:ligatures w14:val="none"/>
        </w:rPr>
        <w:t>töötasustamise alused</w:t>
      </w:r>
    </w:p>
    <w:p w14:paraId="2B401888" w14:textId="2EEBD3A0" w:rsidR="000D70E2" w:rsidRPr="00D80A58" w:rsidRDefault="00950A4C" w:rsidP="00950A4C">
      <w:pPr>
        <w:shd w:val="clear" w:color="auto" w:fill="FFFFFF"/>
        <w:tabs>
          <w:tab w:val="left" w:pos="7300"/>
        </w:tabs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ab/>
      </w:r>
    </w:p>
    <w:p w14:paraId="62BFEA23" w14:textId="63E6CD9B" w:rsidR="000D70E2" w:rsidRPr="000D70E2" w:rsidRDefault="000D70E2" w:rsidP="00D80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BB7A2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Määrus kehtestatakse </w:t>
      </w:r>
      <w:r w:rsidR="00BB7A22" w:rsidRPr="00BB7A2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kohaliku omavalitsuse korralduse seaduse § 6 lõige 3 punkti 2 </w:t>
      </w:r>
      <w:r w:rsidRPr="00BB7A2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alusel.</w:t>
      </w:r>
    </w:p>
    <w:p w14:paraId="4D58B4C8" w14:textId="77777777" w:rsidR="000D70E2" w:rsidRPr="00D80A58" w:rsidRDefault="000D70E2" w:rsidP="00D80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</w:p>
    <w:p w14:paraId="77861DB3" w14:textId="4B2B0B2E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§ 1. </w:t>
      </w:r>
      <w:bookmarkStart w:id="0" w:name="para1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  </w:t>
      </w:r>
      <w:bookmarkEnd w:id="0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Määruse reguleerimisala</w:t>
      </w:r>
    </w:p>
    <w:p w14:paraId="6F2E45D3" w14:textId="7476D572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(1) Määrusega kehtestatakse </w:t>
      </w: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Lüganuse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Vallavalitsuse</w:t>
      </w: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(edaspidi </w:t>
      </w:r>
      <w:r w:rsidRPr="00D80A58">
        <w:rPr>
          <w:rFonts w:ascii="Times New Roman" w:eastAsia="Times New Roman" w:hAnsi="Times New Roman" w:cs="Times New Roman"/>
          <w:i/>
          <w:iCs/>
          <w:color w:val="202020"/>
          <w:kern w:val="0"/>
          <w:lang w:eastAsia="et-EE"/>
          <w14:ligatures w14:val="none"/>
        </w:rPr>
        <w:t>vallavalitsus</w:t>
      </w: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)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hallatavate asutuste (edaspidi </w:t>
      </w:r>
      <w:r w:rsidRPr="000D70E2">
        <w:rPr>
          <w:rFonts w:ascii="Times New Roman" w:eastAsia="Times New Roman" w:hAnsi="Times New Roman" w:cs="Times New Roman"/>
          <w:i/>
          <w:iCs/>
          <w:color w:val="202020"/>
          <w:kern w:val="0"/>
          <w:lang w:eastAsia="et-EE"/>
          <w14:ligatures w14:val="none"/>
        </w:rPr>
        <w:t>asutus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) töötajate</w:t>
      </w: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, v. a asutuse juht, 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töötasu määramise ja maksmise kord (edaspidi </w:t>
      </w:r>
      <w:r w:rsidRPr="00D80A58">
        <w:rPr>
          <w:rFonts w:ascii="Times New Roman" w:eastAsia="Times New Roman" w:hAnsi="Times New Roman" w:cs="Times New Roman"/>
          <w:i/>
          <w:iCs/>
          <w:color w:val="202020"/>
          <w:kern w:val="0"/>
          <w:lang w:eastAsia="et-EE"/>
          <w14:ligatures w14:val="none"/>
        </w:rPr>
        <w:t>kord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).</w:t>
      </w:r>
    </w:p>
    <w:p w14:paraId="37DF6E09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5D399BC6" w14:textId="526CED7B" w:rsidR="000D70E2" w:rsidRPr="00D80A58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(2) </w:t>
      </w: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Korraga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</w:t>
      </w: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sätestatakse töölepingus kokkulepitava töötasu komponendid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, lisatasu maksmise tingimused ja kord ning töötasu maksmise aeg ja viis.</w:t>
      </w:r>
    </w:p>
    <w:p w14:paraId="702120D3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2E719889" w14:textId="118D2DC2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(3) Asutuse juhi töötasustamise alused sätestatakse Lüganuse Vallavolikogu kehtestatud vallavalitsuse palgajuhendis.</w:t>
      </w:r>
    </w:p>
    <w:p w14:paraId="498A95C4" w14:textId="77777777" w:rsidR="000D70E2" w:rsidRPr="00D80A58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</w:p>
    <w:p w14:paraId="0619D8F8" w14:textId="6DF0CA37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§ 2. </w:t>
      </w:r>
      <w:bookmarkStart w:id="1" w:name="para2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  </w:t>
      </w:r>
      <w:bookmarkEnd w:id="1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Mõisted</w:t>
      </w:r>
    </w:p>
    <w:p w14:paraId="28A553FF" w14:textId="4D80F775" w:rsidR="000D70E2" w:rsidRPr="000D70E2" w:rsidRDefault="000D70E2" w:rsidP="00D80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Korras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kasutatakse mõisteid järgmises tähenduses: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br/>
        <w:t>1) töötasu – töölepingu alusel töötajale makstav tasu;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br/>
        <w:t>2) lisatasu – töötasule lisaks makstav tasu täiendavate tööülesannete eest ja muud seadustega sätestatud täiendavad tasud ja hüvitised;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br/>
        <w:t>3) preemia – oodatust paremate tulemuste ja erakordsete tööalaste saavutuste eest kohaldatav ergutus;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br/>
        <w:t>4) </w:t>
      </w: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personalikulu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– valla eelarves asutuse töötajate töötasudeks ettenähtud vahendid.</w:t>
      </w:r>
    </w:p>
    <w:p w14:paraId="078D56DE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</w:p>
    <w:p w14:paraId="66556331" w14:textId="6CAEC375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 xml:space="preserve">§ </w:t>
      </w:r>
      <w:r w:rsidR="00C16836" w:rsidRPr="00D80A58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3</w:t>
      </w:r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. </w:t>
      </w:r>
      <w:bookmarkStart w:id="2" w:name="para4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  </w:t>
      </w:r>
      <w:bookmarkEnd w:id="2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Töötasu määramine ja arvestamine</w:t>
      </w:r>
    </w:p>
    <w:p w14:paraId="74CB3E37" w14:textId="1DEE0CFF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(1) Töötasu lepitakse kokku asutuse töötaja ja asutuse juhi vahel</w:t>
      </w: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sõlmitavas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töölepingus </w:t>
      </w:r>
      <w:r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ja/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või selle lisas. </w:t>
      </w:r>
      <w:r w:rsidR="0030060C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Täiendavate tööülesannete eest makstav l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isatasu</w:t>
      </w:r>
      <w:r w:rsidR="0030060C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, täiendavate tööülesannete loetelu ja lisatasu maksmise periood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</w:t>
      </w:r>
      <w:r w:rsidR="0030060C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lepitakse kokku töölepingu lisas. Ühekordse lisatasu ja/või </w:t>
      </w:r>
      <w:r w:rsidR="0030060C" w:rsidRPr="00B32EB7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p</w:t>
      </w:r>
      <w:r w:rsidRPr="00B32EB7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reemia määrab asutuse juht</w:t>
      </w:r>
      <w:r w:rsidR="0030060C" w:rsidRPr="00B32EB7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käskkirjaga.</w:t>
      </w:r>
    </w:p>
    <w:p w14:paraId="7A07900B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341EC801" w14:textId="7937BDFE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B32EB7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(2) Töötasu </w:t>
      </w:r>
      <w:r w:rsidR="00B32EB7" w:rsidRPr="00B32EB7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kokku leppimisel</w:t>
      </w:r>
      <w:r w:rsidRPr="00B32EB7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arvestatakse töötaja töökohale vastavat töötasu </w:t>
      </w:r>
      <w:r w:rsidR="003F11B5" w:rsidRPr="00B32EB7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määra,</w:t>
      </w:r>
      <w:r w:rsidRPr="00B32EB7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töötaja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tööalast kompetentsust, erialast kogemust, töötulemusi ja töö eripära iseloomustavaid näitajaid (nagu töö intensiivsust, materiaalset vastutust, asendamise kohustust, jms).</w:t>
      </w:r>
    </w:p>
    <w:p w14:paraId="6F6DA9BD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3AF120F1" w14:textId="0F2DE9C3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</w:t>
      </w:r>
      <w:r w:rsidR="00C16836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3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) Töötasu arvestusperiood on kalendrikuu. Töötasu arvestatakse ajavahemiku eest, millal töötaja täitis talle pandud ülesandeid.</w:t>
      </w:r>
    </w:p>
    <w:p w14:paraId="253E4AD4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4F8996A4" w14:textId="5D15B7F0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</w:t>
      </w:r>
      <w:r w:rsidR="00C16836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4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) Tööaja arvestus toimub tööaja arvestuse tabeli alusel. Tööaja arvestuse tabeli koostamise eest vastutab asutuse juht.</w:t>
      </w:r>
    </w:p>
    <w:p w14:paraId="401663C3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</w:p>
    <w:p w14:paraId="05F62C52" w14:textId="544A43C3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 xml:space="preserve">§ </w:t>
      </w:r>
      <w:r w:rsidR="00C16836" w:rsidRPr="00D80A58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4</w:t>
      </w:r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. </w:t>
      </w:r>
      <w:bookmarkStart w:id="3" w:name="para7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  </w:t>
      </w:r>
      <w:bookmarkEnd w:id="3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Töötajatele täiendavate tasude maksmine</w:t>
      </w:r>
    </w:p>
    <w:p w14:paraId="69947657" w14:textId="041B7801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</w:t>
      </w:r>
      <w:r w:rsidR="00C16836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1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) Asutuse juhil on õigus asutuse </w:t>
      </w:r>
      <w:r w:rsidR="00D56A46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ala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eelarves </w:t>
      </w:r>
      <w:r w:rsidR="0030060C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personalikuludeks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ettenähtud vahendite piires määrata asutuse töötajatele lisatasusid ja maksta preemiat.</w:t>
      </w:r>
    </w:p>
    <w:p w14:paraId="7F8CC663" w14:textId="18ADD3C0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</w:t>
      </w:r>
      <w:r w:rsidR="00C16836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2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) Täiendavateks tööülesanneteks loetakse asutuse juhi poolt töötajale antud</w:t>
      </w:r>
      <w:r w:rsidR="003769CD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t</w:t>
      </w:r>
      <w:r w:rsidR="0030060C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ööülesanded</w:t>
      </w:r>
      <w:r w:rsidR="003769CD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, mis ei ole töötaja töölepingujärgsed tööülesanded,  </w:t>
      </w:r>
      <w:r w:rsidR="003769CD"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sealhulgas puuduva töötaja asendami</w:t>
      </w:r>
      <w:r w:rsidR="003769CD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ne</w:t>
      </w:r>
      <w:r w:rsidR="0030060C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.</w:t>
      </w:r>
    </w:p>
    <w:p w14:paraId="1583354B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56A3BB8D" w14:textId="7ABBE669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</w:t>
      </w:r>
      <w:r w:rsidR="00C16836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3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) Töötajale, kes täidab puuduva töötaja ülesandeid, võib maksta lisatasu, kui asendamine tingib võrreldes töölepingus või ametijuhendis ettenähtud töökohustustega töökoormuse või vastutuse olulise suurenemise.</w:t>
      </w:r>
    </w:p>
    <w:p w14:paraId="51F02638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625EE62A" w14:textId="65A04E7E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</w:t>
      </w:r>
      <w:r w:rsidR="00C16836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4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) Eritingimustes (ületunnitöö, töötamine ööajal, töötamine riigipühadel) töötamise eest makstakse </w:t>
      </w:r>
      <w:r w:rsidR="003769CD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töötajale 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lisatasu töölepingu seadus</w:t>
      </w:r>
      <w:r w:rsidR="003769CD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es sätestatud tingimustel ja korras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juhul, kui </w:t>
      </w:r>
      <w:r w:rsidR="003769CD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eritingimustel töötatud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tööaega ei ole töötajale võimalik hüvitada vaba aja andmisega.</w:t>
      </w:r>
    </w:p>
    <w:p w14:paraId="131A0A14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6DB0C035" w14:textId="04F70225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D56A46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</w:t>
      </w:r>
      <w:r w:rsidR="00C16836" w:rsidRPr="00D56A46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5</w:t>
      </w:r>
      <w:r w:rsidRPr="00D56A46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) Üldjuhul ei tohi töötajale makstav preemia ületada kalendriaasta jooksul 20% töötaja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aastasest töötasust.</w:t>
      </w:r>
      <w:r w:rsidR="00D858CE" w:rsidRPr="00D80A58">
        <w:t xml:space="preserve"> </w:t>
      </w:r>
    </w:p>
    <w:p w14:paraId="75503558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30CAA120" w14:textId="5B2B5687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</w:t>
      </w:r>
      <w:r w:rsidR="00C16836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6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) Töötajale võib maksta preemiat kauaaegse töötamise, töökohustuse või kodanikukohuse silmapaistvalt hea täitmise eest, samuti töötaja või asutuse nõutavast tulemuslikuma töösoorituse eest. </w:t>
      </w:r>
    </w:p>
    <w:p w14:paraId="6A8A4F20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</w:p>
    <w:p w14:paraId="68940371" w14:textId="35FDF41A" w:rsidR="000D70E2" w:rsidRPr="00D80A58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 xml:space="preserve">§ </w:t>
      </w:r>
      <w:r w:rsidR="00C16836" w:rsidRPr="00D80A58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5</w:t>
      </w:r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. </w:t>
      </w:r>
      <w:bookmarkStart w:id="4" w:name="para8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  </w:t>
      </w:r>
      <w:bookmarkEnd w:id="4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So</w:t>
      </w:r>
      <w:r w:rsidR="0084030C" w:rsidRPr="00D80A58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tsiaalsed garantiid</w:t>
      </w:r>
    </w:p>
    <w:p w14:paraId="68228AED" w14:textId="5B5CFAD7" w:rsidR="0084030C" w:rsidRPr="00EA3F13" w:rsidRDefault="0084030C" w:rsidP="00D80A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EA3F13">
        <w:rPr>
          <w:rFonts w:ascii="Times New Roman" w:eastAsia="Times New Roman" w:hAnsi="Times New Roman" w:cs="Times New Roman"/>
          <w:lang w:eastAsia="et-EE"/>
        </w:rPr>
        <w:t>(1) Töötajale makstakse haigushüvitist haiguslehe alusel esimese kuni kaheksanda kalendripäeva eest 70% töötaja keskmisest töötasust.</w:t>
      </w:r>
    </w:p>
    <w:p w14:paraId="346FBB21" w14:textId="77777777" w:rsidR="00D80A58" w:rsidRPr="00EA3F13" w:rsidRDefault="00D80A58" w:rsidP="00D80A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</w:p>
    <w:p w14:paraId="10389B37" w14:textId="211B6EA0" w:rsidR="0084030C" w:rsidRPr="00EA3F13" w:rsidRDefault="0084030C" w:rsidP="00D80A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EA3F13">
        <w:rPr>
          <w:rFonts w:ascii="Times New Roman" w:eastAsia="Times New Roman" w:hAnsi="Times New Roman" w:cs="Times New Roman"/>
          <w:lang w:eastAsia="et-EE"/>
        </w:rPr>
        <w:t xml:space="preserve">(2) Töötajale makstakse tema lapse sünni korral ühekordset toetust 200 eurot. </w:t>
      </w:r>
    </w:p>
    <w:p w14:paraId="41889475" w14:textId="77777777" w:rsidR="00D80A58" w:rsidRPr="00EA3F13" w:rsidRDefault="00D80A58" w:rsidP="00D80A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</w:p>
    <w:p w14:paraId="44B76EA6" w14:textId="3D6AB402" w:rsidR="00111489" w:rsidRPr="00D80A58" w:rsidRDefault="00111489" w:rsidP="00D80A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EA3F13">
        <w:rPr>
          <w:rFonts w:ascii="Times New Roman" w:eastAsia="Times New Roman" w:hAnsi="Times New Roman" w:cs="Times New Roman"/>
          <w:lang w:eastAsia="et-EE"/>
        </w:rPr>
        <w:t>(3) Töötajale makstakse tema lähedase surma korral ühekordset toetust 200 eurot.</w:t>
      </w:r>
    </w:p>
    <w:p w14:paraId="2BD3FF4A" w14:textId="77777777" w:rsidR="00D80A58" w:rsidRDefault="00D80A58" w:rsidP="00D80A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</w:p>
    <w:p w14:paraId="66A73CC8" w14:textId="02C954AB" w:rsidR="0084030C" w:rsidRPr="00D80A58" w:rsidRDefault="0084030C" w:rsidP="00D80A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D80A58">
        <w:rPr>
          <w:rFonts w:ascii="Times New Roman" w:eastAsia="Times New Roman" w:hAnsi="Times New Roman" w:cs="Times New Roman"/>
          <w:lang w:eastAsia="et-EE"/>
        </w:rPr>
        <w:t>(</w:t>
      </w:r>
      <w:r w:rsidR="00D80A58">
        <w:rPr>
          <w:rFonts w:ascii="Times New Roman" w:eastAsia="Times New Roman" w:hAnsi="Times New Roman" w:cs="Times New Roman"/>
          <w:lang w:eastAsia="et-EE"/>
        </w:rPr>
        <w:t>4</w:t>
      </w:r>
      <w:r w:rsidRPr="00D80A58">
        <w:rPr>
          <w:rFonts w:ascii="Times New Roman" w:eastAsia="Times New Roman" w:hAnsi="Times New Roman" w:cs="Times New Roman"/>
          <w:lang w:eastAsia="et-EE"/>
        </w:rPr>
        <w:t xml:space="preserve">) </w:t>
      </w:r>
      <w:proofErr w:type="spellStart"/>
      <w:r w:rsidRPr="00D80A58">
        <w:rPr>
          <w:rFonts w:ascii="Times New Roman" w:eastAsia="Times New Roman" w:hAnsi="Times New Roman" w:cs="Times New Roman"/>
          <w:lang w:eastAsia="et-EE"/>
        </w:rPr>
        <w:t>Riigikaitselise</w:t>
      </w:r>
      <w:proofErr w:type="spellEnd"/>
      <w:r w:rsidRPr="00D80A58">
        <w:rPr>
          <w:rFonts w:ascii="Times New Roman" w:eastAsia="Times New Roman" w:hAnsi="Times New Roman" w:cs="Times New Roman"/>
          <w:lang w:eastAsia="et-EE"/>
        </w:rPr>
        <w:t xml:space="preserve"> ülesande täitmisel, mis takistab töötajal täita ajutiselt tööülesandeid, säilitatakse töötajale töötasu.</w:t>
      </w:r>
    </w:p>
    <w:p w14:paraId="2E1CD2C9" w14:textId="77777777" w:rsidR="00D80A58" w:rsidRDefault="00D80A58" w:rsidP="00D80A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</w:p>
    <w:p w14:paraId="38D3C083" w14:textId="06CEB91C" w:rsidR="0084030C" w:rsidRPr="00D80A58" w:rsidRDefault="0084030C" w:rsidP="00D80A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t-EE"/>
        </w:rPr>
      </w:pPr>
      <w:r w:rsidRPr="00D80A58">
        <w:rPr>
          <w:rFonts w:ascii="Times New Roman" w:eastAsia="Times New Roman" w:hAnsi="Times New Roman" w:cs="Times New Roman"/>
          <w:lang w:eastAsia="et-EE"/>
        </w:rPr>
        <w:t>(</w:t>
      </w:r>
      <w:r w:rsidR="00D80A58">
        <w:rPr>
          <w:rFonts w:ascii="Times New Roman" w:eastAsia="Times New Roman" w:hAnsi="Times New Roman" w:cs="Times New Roman"/>
          <w:lang w:eastAsia="et-EE"/>
        </w:rPr>
        <w:t>5</w:t>
      </w:r>
      <w:r w:rsidRPr="00D80A58">
        <w:rPr>
          <w:rFonts w:ascii="Times New Roman" w:eastAsia="Times New Roman" w:hAnsi="Times New Roman" w:cs="Times New Roman"/>
          <w:lang w:eastAsia="et-EE"/>
        </w:rPr>
        <w:t xml:space="preserve">) Töötajale antakse tööst vaba päev 1. septembril töötasu säilitamisega, kui tema laps läheb esimesse klassi. </w:t>
      </w:r>
    </w:p>
    <w:p w14:paraId="4843219A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</w:p>
    <w:p w14:paraId="15660817" w14:textId="570A7BFB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 xml:space="preserve">§ </w:t>
      </w:r>
      <w:r w:rsidR="00C16836" w:rsidRPr="00D80A58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6</w:t>
      </w:r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. </w:t>
      </w:r>
      <w:bookmarkStart w:id="5" w:name="para9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  </w:t>
      </w:r>
      <w:bookmarkEnd w:id="5"/>
      <w:r w:rsidRPr="000D70E2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Töötasu maksmise aeg ja viis</w:t>
      </w:r>
    </w:p>
    <w:p w14:paraId="06510DE9" w14:textId="7D1F6089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(1) Töötasu makstakse üks kord kuus, hiljemalt </w:t>
      </w:r>
      <w:r w:rsidR="0084030C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kalendri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kuu</w:t>
      </w:r>
      <w:r w:rsidR="0084030C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viimasel tööpäeval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.</w:t>
      </w:r>
    </w:p>
    <w:p w14:paraId="489629D1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6E8F55EB" w14:textId="6E017298" w:rsidR="000D70E2" w:rsidRPr="000D70E2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(2) Töötaja töötasu kantakse töötaja </w:t>
      </w:r>
      <w:r w:rsidR="0084030C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avalduses näidatud 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pangakontole.</w:t>
      </w:r>
    </w:p>
    <w:p w14:paraId="78E88AB3" w14:textId="77777777" w:rsidR="00D80A58" w:rsidRDefault="00D80A58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0BE01402" w14:textId="43CF0B12" w:rsidR="000D70E2" w:rsidRPr="00D80A58" w:rsidRDefault="000D70E2" w:rsidP="00D80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(3) Töötajale väljastatakse elektrooniliselt teatis</w:t>
      </w:r>
      <w:r w:rsidR="0078492D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talle</w:t>
      </w:r>
      <w:r w:rsidRPr="000D70E2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arvestatud töötasu</w:t>
      </w:r>
      <w:r w:rsidR="0078492D" w:rsidRPr="00D80A58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ja õigusaktides ettenähtud ulatuses maksude ja maksete kohta.</w:t>
      </w:r>
    </w:p>
    <w:p w14:paraId="0A4F9955" w14:textId="77777777" w:rsidR="00D858CE" w:rsidRPr="00D80A58" w:rsidRDefault="00D858CE" w:rsidP="00D80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3CB44E02" w14:textId="35713061" w:rsidR="00D858CE" w:rsidRDefault="00D858CE" w:rsidP="00D80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  <w:r w:rsidRPr="00D80A58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 xml:space="preserve">§ 7. </w:t>
      </w:r>
      <w:r w:rsidR="007578A0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t>Rakendussättes</w:t>
      </w:r>
    </w:p>
    <w:p w14:paraId="56E76745" w14:textId="77777777" w:rsidR="007578A0" w:rsidRDefault="007578A0" w:rsidP="00D80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</w:p>
    <w:p w14:paraId="3C6E8148" w14:textId="77777777" w:rsidR="007578A0" w:rsidRDefault="007578A0" w:rsidP="00D80A58">
      <w:pPr>
        <w:pStyle w:val="Loendilik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7578A0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Lüganuse Vallavolikogu 30.01.2014 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määrus </w:t>
      </w:r>
      <w:r w:rsidRPr="007578A0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nr 9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„</w:t>
      </w:r>
      <w:r w:rsidRPr="007578A0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Lüganuse valla ametiasutuse hallatavate asutuste palgajuhend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“ tunnistatakse kehtetuks.</w:t>
      </w:r>
    </w:p>
    <w:p w14:paraId="3A88B8FE" w14:textId="77777777" w:rsidR="007578A0" w:rsidRDefault="007578A0" w:rsidP="007578A0">
      <w:pPr>
        <w:pStyle w:val="Loendilik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0F8EF0E2" w14:textId="40E770F9" w:rsidR="00754C70" w:rsidRDefault="00C82A88" w:rsidP="00D80A58">
      <w:pPr>
        <w:pStyle w:val="Loendilik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7578A0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Määrus</w:t>
      </w:r>
      <w:r w:rsidR="00C47A13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t rakendatakse tagasiulatuvalt</w:t>
      </w:r>
      <w:r w:rsidRPr="007578A0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</w:t>
      </w:r>
      <w:r w:rsidR="007578A0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1. jaanuari</w:t>
      </w:r>
      <w:r w:rsidR="00C47A13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st</w:t>
      </w:r>
      <w:r w:rsidR="007578A0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2026. a. </w:t>
      </w:r>
    </w:p>
    <w:p w14:paraId="5FDA4678" w14:textId="77777777" w:rsidR="00C47A13" w:rsidRPr="00C47A13" w:rsidRDefault="00C47A13" w:rsidP="00C47A13">
      <w:pPr>
        <w:pStyle w:val="Loendilik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4EAD0D0B" w14:textId="4C2B9A9F" w:rsidR="00C47A13" w:rsidRDefault="00C47A13" w:rsidP="00D80A58">
      <w:pPr>
        <w:pStyle w:val="Loendilik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Määrus jõustub kolmandal päeval pärast Riigi Teatajas avaldamist.</w:t>
      </w:r>
    </w:p>
    <w:p w14:paraId="458A3094" w14:textId="77777777" w:rsidR="00D50B8E" w:rsidRDefault="00D50B8E" w:rsidP="00D50B8E">
      <w:pPr>
        <w:pStyle w:val="Loendilik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3ACBFE79" w14:textId="77777777" w:rsidR="00D50B8E" w:rsidRDefault="00D50B8E" w:rsidP="00D50B8E">
      <w:pPr>
        <w:pStyle w:val="Loendilik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677224AF" w14:textId="02B68331" w:rsidR="00D50B8E" w:rsidRDefault="00D50B8E" w:rsidP="00D50B8E">
      <w:pPr>
        <w:pStyle w:val="Loendilik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Mart Kivis</w:t>
      </w:r>
      <w:r w:rsidR="00082553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t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ik</w:t>
      </w:r>
    </w:p>
    <w:p w14:paraId="1811BC6B" w14:textId="22D4744A" w:rsidR="00D50B8E" w:rsidRPr="00D50B8E" w:rsidRDefault="00D50B8E" w:rsidP="00D50B8E">
      <w:pPr>
        <w:pStyle w:val="Loendilik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vallavolikogu esimees</w:t>
      </w:r>
    </w:p>
    <w:p w14:paraId="3F3A959B" w14:textId="26ABD867" w:rsidR="00D50B8E" w:rsidRPr="004B23DF" w:rsidRDefault="004B23DF" w:rsidP="00D50B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</w:pPr>
      <w:r w:rsidRPr="004B23DF">
        <w:rPr>
          <w:rFonts w:ascii="Times New Roman" w:eastAsia="Times New Roman" w:hAnsi="Times New Roman" w:cs="Times New Roman"/>
          <w:b/>
          <w:bCs/>
          <w:color w:val="202020"/>
          <w:kern w:val="0"/>
          <w:lang w:eastAsia="et-EE"/>
          <w14:ligatures w14:val="none"/>
        </w:rPr>
        <w:lastRenderedPageBreak/>
        <w:t>Seletuskiri</w:t>
      </w:r>
    </w:p>
    <w:p w14:paraId="05596F0C" w14:textId="1CF71863" w:rsid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määruse eelnõule „</w:t>
      </w:r>
      <w:r w:rsidRPr="004B23DF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Lüganuse Vallavalitsuse hallatavate asutuste töötajate töötasustamise alused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“</w:t>
      </w:r>
    </w:p>
    <w:p w14:paraId="21502E22" w14:textId="77777777" w:rsid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4350156D" w14:textId="0194703C" w:rsid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Kohaliku omavalitsuse korralduse seadus § 6 lõige 2</w:t>
      </w:r>
    </w:p>
    <w:p w14:paraId="47285F0C" w14:textId="21804929" w:rsid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4B23DF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§ 6.   Omavalitsusüksuse ülesanded ja pädevus</w:t>
      </w:r>
    </w:p>
    <w:p w14:paraId="17FED6B3" w14:textId="0F54C055" w:rsid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4B23DF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(2) Omavalitsusüksuse ülesanne on korraldada antud vallas või linnas lastehoidude, lasteaedade, põhikoolide, gümnaasiumide ja huvikoolide, raamatukogude, rahvamajade, muuseumide, spordibaaside, turva- ja hooldekodude, tervishoiuasutuste ning teiste kohalike asutuste ülalpidamist, juhul kui need on omavalitsusüksuse omanduses. Nimetatud asutuste osas võidakse seadusega ette näha teatud kulude katmist kas riigieelarvest või muudest allikatest.</w:t>
      </w:r>
    </w:p>
    <w:p w14:paraId="13DB94E6" w14:textId="77777777" w:rsid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6E21758E" w14:textId="77777777" w:rsid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§ 6 lõige 3 punkt 2</w:t>
      </w:r>
    </w:p>
    <w:p w14:paraId="4636328D" w14:textId="77777777" w:rsidR="004B23DF" w:rsidRP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4B23DF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(3) Lisaks käesoleva paragrahvi 1.–2</w:t>
      </w:r>
      <w:r w:rsidRPr="004B23DF">
        <w:rPr>
          <w:rFonts w:ascii="Times New Roman" w:eastAsia="Times New Roman" w:hAnsi="Times New Roman" w:cs="Times New Roman"/>
          <w:color w:val="202020"/>
          <w:kern w:val="0"/>
          <w:vertAlign w:val="superscript"/>
          <w:lang w:eastAsia="et-EE"/>
          <w14:ligatures w14:val="none"/>
        </w:rPr>
        <w:t>1</w:t>
      </w:r>
      <w:r w:rsidRPr="004B23DF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. lõikes sätestatud ülesannetele otsustab ja korraldab omavalitsusüksus neid kohaliku elu küsimusi:</w:t>
      </w:r>
    </w:p>
    <w:p w14:paraId="1DA21C09" w14:textId="330DC20D" w:rsid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 w:rsidRPr="004B23DF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 2) mis ei ole seadusega antud kellegi teise otsustada ja korraldada.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</w:t>
      </w:r>
    </w:p>
    <w:p w14:paraId="1BA9ECD1" w14:textId="77777777" w:rsid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4604F57B" w14:textId="5990A853" w:rsidR="004B23DF" w:rsidRDefault="004B23DF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Määrusega kehtestatakse </w:t>
      </w:r>
      <w:r w:rsidRPr="004B23DF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Lüganuse Vallavalitsuse hallatavate asutuste töötajate, v. a asutuse juht, töötasu määramise ja maksmise 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alused. Hallatavate asutuste juhi töötasustamise alused on sätestatud Lüganuse Vallavalikogu </w:t>
      </w:r>
      <w:r w:rsidRPr="004B23DF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18.12.2017 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määrusega </w:t>
      </w:r>
      <w:r w:rsidRPr="004B23DF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nr 3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„</w:t>
      </w:r>
      <w:r w:rsidRPr="004B23DF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Lüganuse Vallavalitsuse palgajuhend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“</w:t>
      </w:r>
      <w:r w:rsidR="00550F8E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, mille § 1 lõike 2 kohaselt </w:t>
      </w:r>
      <w:r w:rsidR="00550F8E" w:rsidRPr="00550F8E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rakendatakse </w:t>
      </w:r>
      <w:r w:rsidR="00550F8E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p</w:t>
      </w:r>
      <w:r w:rsidR="00550F8E" w:rsidRPr="00550F8E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algajuhendit vallavalitsuse hallatavate asutuste juhtidele.</w:t>
      </w:r>
    </w:p>
    <w:p w14:paraId="2E8EA403" w14:textId="77777777" w:rsidR="00550F8E" w:rsidRDefault="00550F8E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</w:p>
    <w:p w14:paraId="1D7D48E2" w14:textId="666B3074" w:rsidR="00550F8E" w:rsidRPr="00D50B8E" w:rsidRDefault="00550F8E" w:rsidP="00CC4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Määrusega</w:t>
      </w:r>
      <w:r w:rsidRPr="00550F8E"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 xml:space="preserve"> sätestatakse töölepingus kokkulepitava töötasu komponendid, lisatasu maksmise tingimused ja kord ning töötasu maksmise aeg ja viis</w:t>
      </w:r>
      <w:r>
        <w:rPr>
          <w:rFonts w:ascii="Times New Roman" w:eastAsia="Times New Roman" w:hAnsi="Times New Roman" w:cs="Times New Roman"/>
          <w:color w:val="202020"/>
          <w:kern w:val="0"/>
          <w:lang w:eastAsia="et-EE"/>
          <w14:ligatures w14:val="none"/>
        </w:rPr>
        <w:t>, samuti töötajate sotsiaalsed garantiid, mis on ühtlustatud vallavalitsuse teenistujate ja hallatavate asutuste juhtide garantiidega.</w:t>
      </w:r>
    </w:p>
    <w:sectPr w:rsidR="00550F8E" w:rsidRPr="00D50B8E" w:rsidSect="00D50B8E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5079" w14:textId="77777777" w:rsidR="009A049D" w:rsidRDefault="009A049D" w:rsidP="00E26D2C">
      <w:pPr>
        <w:spacing w:after="0" w:line="240" w:lineRule="auto"/>
      </w:pPr>
      <w:r>
        <w:separator/>
      </w:r>
    </w:p>
  </w:endnote>
  <w:endnote w:type="continuationSeparator" w:id="0">
    <w:p w14:paraId="3FC76F63" w14:textId="77777777" w:rsidR="009A049D" w:rsidRDefault="009A049D" w:rsidP="00E2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28ED" w14:textId="77777777" w:rsidR="009A049D" w:rsidRDefault="009A049D" w:rsidP="00E26D2C">
      <w:pPr>
        <w:spacing w:after="0" w:line="240" w:lineRule="auto"/>
      </w:pPr>
      <w:r>
        <w:separator/>
      </w:r>
    </w:p>
  </w:footnote>
  <w:footnote w:type="continuationSeparator" w:id="0">
    <w:p w14:paraId="354913BA" w14:textId="77777777" w:rsidR="009A049D" w:rsidRDefault="009A049D" w:rsidP="00E2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5F6"/>
    <w:multiLevelType w:val="hybridMultilevel"/>
    <w:tmpl w:val="54E68204"/>
    <w:lvl w:ilvl="0" w:tplc="29449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2543"/>
    <w:multiLevelType w:val="hybridMultilevel"/>
    <w:tmpl w:val="03A8BD3A"/>
    <w:lvl w:ilvl="0" w:tplc="84448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628968">
    <w:abstractNumId w:val="0"/>
  </w:num>
  <w:num w:numId="2" w16cid:durableId="1700203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2C"/>
    <w:rsid w:val="00082553"/>
    <w:rsid w:val="000D70E2"/>
    <w:rsid w:val="00111489"/>
    <w:rsid w:val="00112D77"/>
    <w:rsid w:val="002158B8"/>
    <w:rsid w:val="002E38B3"/>
    <w:rsid w:val="0030060C"/>
    <w:rsid w:val="003515F9"/>
    <w:rsid w:val="003769CD"/>
    <w:rsid w:val="003F11B5"/>
    <w:rsid w:val="0044520A"/>
    <w:rsid w:val="004A6130"/>
    <w:rsid w:val="004B23DF"/>
    <w:rsid w:val="004C7310"/>
    <w:rsid w:val="004D26B9"/>
    <w:rsid w:val="00550F8E"/>
    <w:rsid w:val="0060634C"/>
    <w:rsid w:val="00754C70"/>
    <w:rsid w:val="007578A0"/>
    <w:rsid w:val="0078492D"/>
    <w:rsid w:val="007B4EC9"/>
    <w:rsid w:val="00823373"/>
    <w:rsid w:val="0084030C"/>
    <w:rsid w:val="00950A4C"/>
    <w:rsid w:val="009A049D"/>
    <w:rsid w:val="009D007A"/>
    <w:rsid w:val="009D68EB"/>
    <w:rsid w:val="00A057FB"/>
    <w:rsid w:val="00B32EB7"/>
    <w:rsid w:val="00B61780"/>
    <w:rsid w:val="00BB7A22"/>
    <w:rsid w:val="00BF7BCD"/>
    <w:rsid w:val="00C16836"/>
    <w:rsid w:val="00C47A13"/>
    <w:rsid w:val="00C73909"/>
    <w:rsid w:val="00C74A41"/>
    <w:rsid w:val="00C82A88"/>
    <w:rsid w:val="00CC44C0"/>
    <w:rsid w:val="00D50B8E"/>
    <w:rsid w:val="00D56A46"/>
    <w:rsid w:val="00D65999"/>
    <w:rsid w:val="00D80A58"/>
    <w:rsid w:val="00D858CE"/>
    <w:rsid w:val="00DD6CC4"/>
    <w:rsid w:val="00E26D2C"/>
    <w:rsid w:val="00E3513D"/>
    <w:rsid w:val="00E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E831"/>
  <w15:chartTrackingRefBased/>
  <w15:docId w15:val="{CB241227-6086-450A-B68D-7666F26C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26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2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26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26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26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26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26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26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26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26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26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26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26D2C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26D2C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26D2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26D2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26D2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26D2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26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2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26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26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26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26D2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26D2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26D2C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26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26D2C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26D2C"/>
    <w:rPr>
      <w:b/>
      <w:bCs/>
      <w:smallCaps/>
      <w:color w:val="2F5496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26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26D2C"/>
  </w:style>
  <w:style w:type="paragraph" w:styleId="Jalus">
    <w:name w:val="footer"/>
    <w:basedOn w:val="Normaallaad"/>
    <w:link w:val="JalusMrk"/>
    <w:uiPriority w:val="99"/>
    <w:unhideWhenUsed/>
    <w:rsid w:val="00E26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26D2C"/>
  </w:style>
  <w:style w:type="character" w:styleId="Hperlink">
    <w:name w:val="Hyperlink"/>
    <w:basedOn w:val="Liguvaikefont"/>
    <w:uiPriority w:val="99"/>
    <w:unhideWhenUsed/>
    <w:rsid w:val="000D70E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D7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LINNASEKRETÄR KLV</dc:creator>
  <cp:keywords/>
  <dc:description/>
  <cp:lastModifiedBy>LINNASEKRETÄR KLV</cp:lastModifiedBy>
  <cp:revision>14</cp:revision>
  <dcterms:created xsi:type="dcterms:W3CDTF">2025-11-17T09:16:00Z</dcterms:created>
  <dcterms:modified xsi:type="dcterms:W3CDTF">2026-01-23T09:14:00Z</dcterms:modified>
</cp:coreProperties>
</file>