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AE868" w14:textId="59C71349" w:rsidR="00EA76EB" w:rsidRDefault="00AB1D18" w:rsidP="00EA76EB">
      <w:r>
        <w:rPr>
          <w:lang w:val="ru-RU"/>
        </w:rPr>
        <w:t>Выдавший документ орган</w:t>
      </w:r>
      <w:r w:rsidR="00EA76EB">
        <w:t xml:space="preserve">: </w:t>
      </w:r>
      <w:r>
        <w:rPr>
          <w:lang w:val="ru-RU"/>
        </w:rPr>
        <w:t>Волостное собрание Люганузе</w:t>
      </w:r>
    </w:p>
    <w:p w14:paraId="3B9032E3" w14:textId="6A6B5093" w:rsidR="00AB1D18" w:rsidRPr="00AB1D18" w:rsidRDefault="00AB1D18" w:rsidP="00AB1D18">
      <w:pPr>
        <w:rPr>
          <w:lang w:val="ru-RU"/>
        </w:rPr>
      </w:pPr>
      <w:r>
        <w:rPr>
          <w:lang w:val="ru-RU"/>
        </w:rPr>
        <w:t>Тип документа</w:t>
      </w:r>
      <w:r w:rsidR="00EA76EB">
        <w:t xml:space="preserve">: </w:t>
      </w:r>
      <w:r>
        <w:rPr>
          <w:lang w:val="ru-RU"/>
        </w:rPr>
        <w:t>постановление</w:t>
      </w:r>
      <w:r w:rsidR="00726C3A">
        <w:rPr>
          <w:lang w:val="ru-RU"/>
        </w:rPr>
        <w:br/>
      </w:r>
      <w:r>
        <w:rPr>
          <w:lang w:val="ru-RU"/>
        </w:rPr>
        <w:t>Тип текста</w:t>
      </w:r>
      <w:r w:rsidR="00EA76EB">
        <w:t xml:space="preserve">: </w:t>
      </w:r>
      <w:r w:rsidR="000D40C1">
        <w:rPr>
          <w:lang w:val="ru-RU"/>
        </w:rPr>
        <w:t>полный</w:t>
      </w:r>
      <w:r>
        <w:rPr>
          <w:lang w:val="ru-RU"/>
        </w:rPr>
        <w:t xml:space="preserve"> текст</w:t>
      </w:r>
      <w:r w:rsidR="00726C3A">
        <w:rPr>
          <w:lang w:val="ru-RU"/>
        </w:rPr>
        <w:br/>
      </w:r>
      <w:r w:rsidRPr="00AB1D18">
        <w:rPr>
          <w:lang w:val="ru-RU"/>
        </w:rPr>
        <w:t>Дата вступле</w:t>
      </w:r>
      <w:r w:rsidR="00726C3A">
        <w:rPr>
          <w:lang w:val="ru-RU"/>
        </w:rPr>
        <w:t>ния редакции в силу: 06.05.2025</w:t>
      </w:r>
      <w:r w:rsidR="00726C3A">
        <w:rPr>
          <w:lang w:val="ru-RU"/>
        </w:rPr>
        <w:br/>
      </w:r>
      <w:r w:rsidRPr="00AB1D18">
        <w:rPr>
          <w:lang w:val="ru-RU"/>
        </w:rPr>
        <w:t>Дата окончания действия редакц</w:t>
      </w:r>
      <w:r w:rsidR="00726C3A">
        <w:rPr>
          <w:lang w:val="ru-RU"/>
        </w:rPr>
        <w:t>ии: В настоящее время действует</w:t>
      </w:r>
      <w:r w:rsidR="00726C3A">
        <w:rPr>
          <w:lang w:val="ru-RU"/>
        </w:rPr>
        <w:br/>
      </w:r>
      <w:r w:rsidRPr="00AB1D18">
        <w:rPr>
          <w:lang w:val="ru-RU"/>
        </w:rPr>
        <w:t>Публикация: RT IV, 03.05.2025, 17</w:t>
      </w:r>
    </w:p>
    <w:p w14:paraId="25FD14E5" w14:textId="77777777" w:rsidR="00AB1D18" w:rsidRPr="00AB1D18" w:rsidRDefault="00AB1D18" w:rsidP="00AB1D18">
      <w:pPr>
        <w:rPr>
          <w:lang w:val="ru-RU"/>
        </w:rPr>
      </w:pPr>
    </w:p>
    <w:p w14:paraId="6A1FFCB5" w14:textId="30FDCA86" w:rsidR="00EA76EB" w:rsidRDefault="00AB1D18" w:rsidP="00EA76EB">
      <w:r w:rsidRPr="00AB1D18">
        <w:rPr>
          <w:lang w:val="ru-RU"/>
        </w:rPr>
        <w:t>Порядок реализации программы волости Люганузе «</w:t>
      </w:r>
      <w:r w:rsidRPr="00AB1D18">
        <w:rPr>
          <w:lang w:val="ru-RU"/>
        </w:rPr>
        <w:t>Благоустройство зданий в волости Люганузе</w:t>
      </w:r>
      <w:r w:rsidRPr="00AB1D18">
        <w:rPr>
          <w:lang w:val="ru-RU"/>
        </w:rPr>
        <w:t>»</w:t>
      </w:r>
    </w:p>
    <w:p w14:paraId="7C326A10" w14:textId="7067ABF2" w:rsidR="00AB1D18" w:rsidRDefault="00726C3A" w:rsidP="00AB1D18">
      <w:r>
        <w:t>Принято 22.12.2022, № 31</w:t>
      </w:r>
      <w:r>
        <w:br/>
        <w:t>RT IV, 29.12.2022, 53</w:t>
      </w:r>
      <w:r>
        <w:br/>
      </w:r>
      <w:r w:rsidR="00AB1D18">
        <w:t>Вступ</w:t>
      </w:r>
      <w:r w:rsidR="00AB1D18">
        <w:rPr>
          <w:lang w:val="ru-RU"/>
        </w:rPr>
        <w:t>ило</w:t>
      </w:r>
      <w:r w:rsidR="00AB1D18">
        <w:t xml:space="preserve"> в силу с 01.01.2023</w:t>
      </w:r>
    </w:p>
    <w:p w14:paraId="351BE821" w14:textId="77777777" w:rsidR="00AB1D18" w:rsidRDefault="00AB1D18" w:rsidP="00AB1D18"/>
    <w:p w14:paraId="0AA5030C" w14:textId="77777777" w:rsidR="00AB1D18" w:rsidRDefault="00AB1D18" w:rsidP="00AB1D18">
      <w:r>
        <w:t>Изменения, внесённые следующими актами:</w:t>
      </w:r>
    </w:p>
    <w:p w14:paraId="33DA37FF" w14:textId="45C0D3DE" w:rsidR="00AB1D18" w:rsidRDefault="00AB1D18" w:rsidP="00AB1D18">
      <w:r>
        <w:t>Принятие –</w:t>
      </w:r>
      <w:r w:rsidR="00726C3A">
        <w:t xml:space="preserve"> Публикация – Вступление в силу</w:t>
      </w:r>
      <w:r w:rsidR="00726C3A">
        <w:br/>
      </w:r>
      <w:r>
        <w:t xml:space="preserve">29.08.2024 – RT </w:t>
      </w:r>
      <w:r w:rsidR="00726C3A">
        <w:t>IV, 05.09.2024, 10 – 08.09.2024</w:t>
      </w:r>
      <w:r w:rsidR="00726C3A">
        <w:br/>
      </w:r>
      <w:r>
        <w:t xml:space="preserve">19.12.2024 – RT </w:t>
      </w:r>
      <w:r w:rsidR="00726C3A">
        <w:t>IV, 31.12.2024, 16 – 03.01.2025</w:t>
      </w:r>
      <w:r w:rsidR="00726C3A">
        <w:br/>
      </w:r>
      <w:r>
        <w:t>29.04.2025 – RT IV, 03.05.2025, 14 – 06.05.2025</w:t>
      </w:r>
    </w:p>
    <w:p w14:paraId="59CC8244" w14:textId="134F52D9" w:rsidR="00EA76EB" w:rsidRDefault="00AB1D18" w:rsidP="00AB1D18">
      <w:r>
        <w:t>Постановление выдано на основании пункта 5 части 1 статьи 22 Закона об организации местного самоуправления.</w:t>
      </w:r>
    </w:p>
    <w:p w14:paraId="6C35FE1A" w14:textId="327BDDA7" w:rsidR="00AB1D18" w:rsidRPr="007F2703" w:rsidRDefault="00AB1D18" w:rsidP="00AB1D18">
      <w:pPr>
        <w:rPr>
          <w:b/>
        </w:rPr>
      </w:pPr>
      <w:r w:rsidRPr="007F2703">
        <w:rPr>
          <w:b/>
        </w:rPr>
        <w:t>§ 1.</w:t>
      </w:r>
      <w:r w:rsidRPr="007F2703">
        <w:rPr>
          <w:b/>
        </w:rPr>
        <w:t xml:space="preserve"> Цель программы «Благоустройство зданий в волости Люганузе»</w:t>
      </w:r>
    </w:p>
    <w:p w14:paraId="495181AB" w14:textId="1D9E8A0C" w:rsidR="00EA76EB" w:rsidRDefault="00AB1D18" w:rsidP="00AB1D18">
      <w:pPr>
        <w:jc w:val="both"/>
      </w:pPr>
      <w:r>
        <w:t xml:space="preserve">Целью программы «Благоустройство зданий в волости Люганузе» (далее — программа) является содействие улучшению внешнего вида частных жилых домов и многоквартирных домов, расположенных на территории волости Люганузе (далее — волость), повышению энергоэффективности и улучшению жилищных условий жителей, посредством поддержки этих </w:t>
      </w:r>
      <w:r w:rsidR="00726C3A">
        <w:rPr>
          <w:lang w:val="ru-RU"/>
        </w:rPr>
        <w:t>действий</w:t>
      </w:r>
      <w:r>
        <w:t xml:space="preserve"> из бюджета волости (далее — поддержка) в соответствии с условиями и порядком, установленными настоящим постановлением.</w:t>
      </w:r>
      <w:r>
        <w:t xml:space="preserve"> </w:t>
      </w:r>
    </w:p>
    <w:p w14:paraId="6926BD5E" w14:textId="400368B2" w:rsidR="00AB1D18" w:rsidRPr="007F2703" w:rsidRDefault="00AB1D18" w:rsidP="00AB1D18">
      <w:pPr>
        <w:rPr>
          <w:b/>
          <w:lang w:val="ru-RU"/>
        </w:rPr>
      </w:pPr>
      <w:r w:rsidRPr="007F2703">
        <w:rPr>
          <w:b/>
        </w:rPr>
        <w:t xml:space="preserve">§ 2. </w:t>
      </w:r>
      <w:r w:rsidRPr="007F2703">
        <w:rPr>
          <w:b/>
          <w:lang w:val="ru-RU"/>
        </w:rPr>
        <w:t>Определения</w:t>
      </w:r>
    </w:p>
    <w:p w14:paraId="253150FB" w14:textId="2FA56869" w:rsidR="00AB1D18" w:rsidRDefault="00AB1D18" w:rsidP="00AB1D18">
      <w:r>
        <w:t xml:space="preserve">(1) В настоящем постановлении используются следующие </w:t>
      </w:r>
      <w:r w:rsidR="00DF16E1">
        <w:rPr>
          <w:lang w:val="ru-RU"/>
        </w:rPr>
        <w:t>определения</w:t>
      </w:r>
      <w:r w:rsidR="00DF16E1">
        <w:t>:</w:t>
      </w:r>
    </w:p>
    <w:p w14:paraId="6FFC7A35" w14:textId="1F4AD1B8" w:rsidR="00AB1D18" w:rsidRDefault="00AB1D18" w:rsidP="00DF16E1">
      <w:pPr>
        <w:pStyle w:val="ListParagraph"/>
        <w:numPr>
          <w:ilvl w:val="0"/>
          <w:numId w:val="1"/>
        </w:numPr>
        <w:jc w:val="both"/>
      </w:pPr>
      <w:r>
        <w:t>Участник прог</w:t>
      </w:r>
      <w:r w:rsidR="00DF16E1">
        <w:t xml:space="preserve">раммы — зарегистрированный в </w:t>
      </w:r>
      <w:r w:rsidR="00DF16E1">
        <w:rPr>
          <w:lang w:val="ru-RU"/>
        </w:rPr>
        <w:t>г</w:t>
      </w:r>
      <w:r>
        <w:t xml:space="preserve">осударственном регистре строений владелец жилого здания, расположенного в волости Люганузе, его совладельцы, при этом не менее половины из них должны быть зарегистрированы по месту жительства в волости Люганузе по состоянию на 1 января года подачи заявки, а также зарегистрированные в </w:t>
      </w:r>
      <w:r w:rsidR="00DF16E1" w:rsidRPr="00DF16E1">
        <w:rPr>
          <w:lang w:val="ru-RU"/>
        </w:rPr>
        <w:t>Коммерческом</w:t>
      </w:r>
      <w:r>
        <w:t xml:space="preserve"> регистре </w:t>
      </w:r>
      <w:r w:rsidR="00DF16E1" w:rsidRPr="00DF16E1">
        <w:rPr>
          <w:lang w:val="ru-RU"/>
        </w:rPr>
        <w:t xml:space="preserve">квартирные </w:t>
      </w:r>
      <w:r>
        <w:t>товарищества, действующие в волости;</w:t>
      </w:r>
    </w:p>
    <w:p w14:paraId="2D93DBEB" w14:textId="7B1AD915" w:rsidR="00AB1D18" w:rsidRDefault="00AB1D18" w:rsidP="00DF16E1">
      <w:pPr>
        <w:pStyle w:val="ListParagraph"/>
        <w:numPr>
          <w:ilvl w:val="0"/>
          <w:numId w:val="1"/>
        </w:numPr>
        <w:jc w:val="both"/>
      </w:pPr>
      <w:r>
        <w:t xml:space="preserve">Частный дом — индивидуальный жилой дом, секция </w:t>
      </w:r>
      <w:r w:rsidR="00DF16E1">
        <w:rPr>
          <w:lang w:val="ru-RU"/>
        </w:rPr>
        <w:t>рядного дома</w:t>
      </w:r>
      <w:r>
        <w:t>; к частным домам приравниваются дома с количеством квартир не более четырёх. Участником считается представитель владельцев по доверенности;</w:t>
      </w:r>
    </w:p>
    <w:p w14:paraId="71FEE548" w14:textId="1B1A6896" w:rsidR="00DF16E1" w:rsidRDefault="00AB1D18" w:rsidP="00DF16E1">
      <w:pPr>
        <w:pStyle w:val="ListParagraph"/>
        <w:numPr>
          <w:ilvl w:val="0"/>
          <w:numId w:val="1"/>
        </w:numPr>
        <w:jc w:val="both"/>
      </w:pPr>
      <w:r>
        <w:lastRenderedPageBreak/>
        <w:t>Обновление фасада жилых зданий —</w:t>
      </w:r>
      <w:r w:rsidR="00726C3A">
        <w:rPr>
          <w:lang w:val="ru-RU"/>
        </w:rPr>
        <w:t xml:space="preserve">отделка </w:t>
      </w:r>
      <w:r>
        <w:t>фасада в пределах периметра здания</w:t>
      </w:r>
      <w:r w:rsidR="00726C3A">
        <w:rPr>
          <w:lang w:val="ru-RU"/>
        </w:rPr>
        <w:t xml:space="preserve"> выполненная</w:t>
      </w:r>
      <w:r w:rsidR="00DF16E1">
        <w:rPr>
          <w:lang w:val="ru-RU"/>
        </w:rPr>
        <w:t xml:space="preserve"> полностью или частично</w:t>
      </w:r>
      <w:r>
        <w:t>;</w:t>
      </w:r>
    </w:p>
    <w:p w14:paraId="27B37477" w14:textId="77777777" w:rsidR="00DF16E1" w:rsidRDefault="00DF16E1" w:rsidP="00AB1D18">
      <w:pPr>
        <w:pStyle w:val="ListParagraph"/>
        <w:numPr>
          <w:ilvl w:val="0"/>
          <w:numId w:val="1"/>
        </w:numPr>
        <w:jc w:val="both"/>
      </w:pPr>
      <w:r>
        <w:rPr>
          <w:lang w:val="ru-RU"/>
        </w:rPr>
        <w:t>Акцептируемые</w:t>
      </w:r>
      <w:r w:rsidR="00AB1D18">
        <w:t xml:space="preserve"> работы — перечисленные в настоящем постановлении виды деятельности, а также долевое участие в утеплении и отделке фасадов в рамках капитального ремонта многоквартирного дома при получении структурной поддержки</w:t>
      </w:r>
      <w:r>
        <w:rPr>
          <w:lang w:val="ru-RU"/>
        </w:rPr>
        <w:t xml:space="preserve"> из соответствующих фондов</w:t>
      </w:r>
      <w:r w:rsidR="00AB1D18">
        <w:t>;</w:t>
      </w:r>
    </w:p>
    <w:p w14:paraId="0B957CE5" w14:textId="566CEE02" w:rsidR="00DF16E1" w:rsidRDefault="00AB1D18" w:rsidP="00AB1D18">
      <w:pPr>
        <w:pStyle w:val="ListParagraph"/>
        <w:numPr>
          <w:ilvl w:val="0"/>
          <w:numId w:val="1"/>
        </w:numPr>
        <w:jc w:val="both"/>
      </w:pPr>
      <w:r>
        <w:t xml:space="preserve">Работы по водо- и канализационным системам частных домов — бурение и очистка колодцев, установка септиков, биофильтров, герметичных ёмкостей для сточных вод, прокладка водо- и канализационных труб на участке, подключение к центральной системе водоснабжения и канализации (далее — ЦВК), включая проектирование. Не считаются </w:t>
      </w:r>
      <w:r w:rsidR="00DF16E1">
        <w:rPr>
          <w:lang w:val="ru-RU"/>
        </w:rPr>
        <w:t>акцептируемыми</w:t>
      </w:r>
      <w:r>
        <w:t xml:space="preserve"> работы по подключению в зонах сбора сточных вод, если для этих целей уже предусмотрена поддержка от Центра инвестиций в окружающую среду (KIK) или в рамках программы по развитию </w:t>
      </w:r>
      <w:r w:rsidR="00726C3A">
        <w:rPr>
          <w:lang w:val="ru-RU"/>
        </w:rPr>
        <w:t>редко</w:t>
      </w:r>
      <w:r>
        <w:t>населённых территорий;</w:t>
      </w:r>
    </w:p>
    <w:p w14:paraId="135903E1" w14:textId="2A13C5F0" w:rsidR="00DF16E1" w:rsidRDefault="00AB1D18" w:rsidP="00AB1D18">
      <w:pPr>
        <w:pStyle w:val="ListParagraph"/>
        <w:numPr>
          <w:ilvl w:val="0"/>
          <w:numId w:val="1"/>
        </w:numPr>
        <w:jc w:val="both"/>
      </w:pPr>
      <w:r>
        <w:t>Замена кровли частных домов — замена асбестосодержащего шифера на черепицу, профилированный металл, битумную черепицу, битумные или рулонные материалы, дранку, камыш или фиброцементные плиты (исключая асбестосодержащий</w:t>
      </w:r>
      <w:r w:rsidR="00823348">
        <w:t xml:space="preserve"> шифер, рубероид и ПВХ-</w:t>
      </w:r>
      <w:r>
        <w:t xml:space="preserve"> листы);</w:t>
      </w:r>
    </w:p>
    <w:p w14:paraId="56F8C236" w14:textId="076F3E5F" w:rsidR="00DF16E1" w:rsidRDefault="00AB1D18" w:rsidP="00AB1D18">
      <w:pPr>
        <w:pStyle w:val="ListParagraph"/>
        <w:numPr>
          <w:ilvl w:val="0"/>
          <w:numId w:val="1"/>
        </w:numPr>
        <w:jc w:val="both"/>
      </w:pPr>
      <w:r>
        <w:t xml:space="preserve">Обновление фасада многоквартирных домов — частичное или полное утепление, оштукатуривание, окраска, </w:t>
      </w:r>
      <w:r w:rsidR="00DF16E1">
        <w:rPr>
          <w:lang w:val="ru-RU"/>
        </w:rPr>
        <w:t>отделка</w:t>
      </w:r>
      <w:r w:rsidR="00726C3A">
        <w:rPr>
          <w:lang w:val="ru-RU"/>
        </w:rPr>
        <w:t xml:space="preserve"> применяемыми при фасадных работах материалами</w:t>
      </w:r>
      <w:r>
        <w:t xml:space="preserve"> по </w:t>
      </w:r>
      <w:r w:rsidR="00726C3A">
        <w:t>периметру здания, замена окон</w:t>
      </w:r>
      <w:r w:rsidR="00726C3A">
        <w:rPr>
          <w:lang w:val="ru-RU"/>
        </w:rPr>
        <w:t xml:space="preserve">, </w:t>
      </w:r>
      <w:r>
        <w:t>входных</w:t>
      </w:r>
      <w:r w:rsidR="00726C3A">
        <w:rPr>
          <w:lang w:val="ru-RU"/>
        </w:rPr>
        <w:t xml:space="preserve"> и внутренних</w:t>
      </w:r>
      <w:r>
        <w:t xml:space="preserve"> дверей в подъездах, окон в подвалах, установка или ремонт козырьков над входами, ремонт лестниц, цоколя, пандусов, замена или ремонт балконных ограждений;</w:t>
      </w:r>
    </w:p>
    <w:p w14:paraId="4C57AFFD" w14:textId="2ACFF0E3" w:rsidR="00823348" w:rsidRDefault="00AB1D18" w:rsidP="00AB1D18">
      <w:pPr>
        <w:pStyle w:val="ListParagraph"/>
        <w:numPr>
          <w:ilvl w:val="0"/>
          <w:numId w:val="1"/>
        </w:numPr>
        <w:jc w:val="both"/>
      </w:pPr>
      <w:r>
        <w:t>Замена кровли многоквартирных домов — замена асбестосодержащего шифера на черепицу, профилированный металл, фиброцементные плиты (</w:t>
      </w:r>
      <w:r w:rsidR="00823348" w:rsidRPr="00823348">
        <w:t>исключая асбестосо</w:t>
      </w:r>
      <w:r w:rsidR="00726C3A">
        <w:t>держащий шифер, рубероид и ПВХ-</w:t>
      </w:r>
      <w:r w:rsidR="00823348" w:rsidRPr="00823348">
        <w:t>листы</w:t>
      </w:r>
      <w:r>
        <w:t xml:space="preserve">), утепление чердачных перекрытий и потолков, покрытие рулонными материалами, установка системы водоотведения, ремонт </w:t>
      </w:r>
      <w:r w:rsidR="00DF16E1">
        <w:rPr>
          <w:lang w:val="ru-RU"/>
        </w:rPr>
        <w:t>верхних частей</w:t>
      </w:r>
      <w:r>
        <w:t xml:space="preserve"> дымоходов и установка колпаков</w:t>
      </w:r>
      <w:r w:rsidR="00DF16E1">
        <w:rPr>
          <w:lang w:val="ru-RU"/>
        </w:rPr>
        <w:t xml:space="preserve"> над дымоходом</w:t>
      </w:r>
      <w:r>
        <w:t>;</w:t>
      </w:r>
    </w:p>
    <w:p w14:paraId="140902CA" w14:textId="77777777" w:rsidR="00823348" w:rsidRDefault="00AB1D18" w:rsidP="00823348">
      <w:pPr>
        <w:ind w:left="360"/>
        <w:jc w:val="both"/>
      </w:pPr>
      <w:r>
        <w:t>8¹) Обновление лифтовой системы многоквартирного дома;</w:t>
      </w:r>
    </w:p>
    <w:p w14:paraId="39A4B359" w14:textId="77777777" w:rsidR="00823348" w:rsidRDefault="00AB1D18" w:rsidP="00AB1D18">
      <w:pPr>
        <w:pStyle w:val="ListParagraph"/>
        <w:numPr>
          <w:ilvl w:val="0"/>
          <w:numId w:val="1"/>
        </w:numPr>
        <w:jc w:val="both"/>
      </w:pPr>
      <w:r>
        <w:t>Ценовое предложение — предложение поставщика строительных работ с общей стоимостью услуг по объекту;</w:t>
      </w:r>
    </w:p>
    <w:p w14:paraId="6717BE0E" w14:textId="77777777" w:rsidR="00823348" w:rsidRDefault="00AB1D18" w:rsidP="00AB1D18">
      <w:pPr>
        <w:pStyle w:val="ListParagraph"/>
        <w:numPr>
          <w:ilvl w:val="0"/>
          <w:numId w:val="1"/>
        </w:numPr>
        <w:jc w:val="both"/>
      </w:pPr>
      <w:r>
        <w:t>Смета — расчёт стоимости на основе объёмов строительных работ. Смета должна содержать перечень строительных работ и используемых материалов, объёмы, цены</w:t>
      </w:r>
      <w:r w:rsidR="00823348">
        <w:rPr>
          <w:lang w:val="ru-RU"/>
        </w:rPr>
        <w:t xml:space="preserve"> за единицу </w:t>
      </w:r>
      <w:r>
        <w:t xml:space="preserve"> и </w:t>
      </w:r>
      <w:r w:rsidR="00823348">
        <w:rPr>
          <w:lang w:val="ru-RU"/>
        </w:rPr>
        <w:t>итоговую</w:t>
      </w:r>
      <w:r>
        <w:t xml:space="preserve"> стоимость;</w:t>
      </w:r>
    </w:p>
    <w:p w14:paraId="27C5E063" w14:textId="49E3394D" w:rsidR="00AB1D18" w:rsidRDefault="00823348" w:rsidP="00AB1D18">
      <w:pPr>
        <w:pStyle w:val="ListParagraph"/>
        <w:numPr>
          <w:ilvl w:val="0"/>
          <w:numId w:val="1"/>
        </w:numPr>
        <w:jc w:val="both"/>
      </w:pPr>
      <w:r>
        <w:rPr>
          <w:lang w:val="ru-RU"/>
        </w:rPr>
        <w:t>Подтверждающий расход документ</w:t>
      </w:r>
      <w:r w:rsidR="00AB1D18">
        <w:t xml:space="preserve"> — счёт, выставленный продавцом товара или услуги, содержащий название и номер документа, дату составления, наименование и количество товара или услуги, цену и сумму, а также имена и адреса сторон сделки и подпись поставщика;</w:t>
      </w:r>
    </w:p>
    <w:p w14:paraId="680CCCE1" w14:textId="78C4942A" w:rsidR="00AB1D18" w:rsidRDefault="00AB1D18" w:rsidP="00AB1D18">
      <w:pPr>
        <w:pStyle w:val="ListParagraph"/>
        <w:numPr>
          <w:ilvl w:val="0"/>
          <w:numId w:val="1"/>
        </w:numPr>
        <w:jc w:val="both"/>
      </w:pPr>
      <w:r>
        <w:t>Документ, подтверждающий оплату — платёжное поручение с архивным номером банка, кассовый чек или квитанция об оплате картой. При оплате картой на чеке также должно быть указано имя плательщика.</w:t>
      </w:r>
    </w:p>
    <w:p w14:paraId="4101ACFC" w14:textId="2E5A8E21" w:rsidR="00AB1D18" w:rsidRDefault="00AB1D18" w:rsidP="00823348">
      <w:pPr>
        <w:jc w:val="both"/>
      </w:pPr>
      <w:r>
        <w:t>(2) Если плательщиком не является участник программы или его уполномоченный представитель, платёжный документ должен содержать пояснение от</w:t>
      </w:r>
      <w:r w:rsidR="00823348">
        <w:t xml:space="preserve"> чьего имени произведён платёж.</w:t>
      </w:r>
    </w:p>
    <w:p w14:paraId="2A720593" w14:textId="1ACD5E8D" w:rsidR="00EA76EB" w:rsidRDefault="00AB1D18" w:rsidP="00823348">
      <w:pPr>
        <w:jc w:val="both"/>
      </w:pPr>
      <w:r>
        <w:t xml:space="preserve">(3) </w:t>
      </w:r>
      <w:r w:rsidR="00726C3A">
        <w:rPr>
          <w:lang w:val="ru-RU"/>
        </w:rPr>
        <w:t>Платежные и расходные д</w:t>
      </w:r>
      <w:r>
        <w:t xml:space="preserve">окументы, составленные с нарушением требований, могут </w:t>
      </w:r>
      <w:r w:rsidR="00726C3A">
        <w:t>не приниматься к учёту волостн</w:t>
      </w:r>
      <w:r w:rsidR="00726C3A">
        <w:rPr>
          <w:lang w:val="ru-RU"/>
        </w:rPr>
        <w:t>ым</w:t>
      </w:r>
      <w:r w:rsidR="00726C3A">
        <w:t xml:space="preserve"> управ</w:t>
      </w:r>
      <w:r w:rsidR="00726C3A">
        <w:rPr>
          <w:lang w:val="ru-RU"/>
        </w:rPr>
        <w:t>лением</w:t>
      </w:r>
      <w:r>
        <w:t>.</w:t>
      </w:r>
    </w:p>
    <w:p w14:paraId="16A2F88B" w14:textId="5EDA816C" w:rsidR="00D12CD6" w:rsidRPr="007F2703" w:rsidRDefault="00D12CD6" w:rsidP="00D12CD6">
      <w:pPr>
        <w:rPr>
          <w:b/>
        </w:rPr>
      </w:pPr>
      <w:r w:rsidRPr="007F2703">
        <w:rPr>
          <w:b/>
        </w:rPr>
        <w:t>§ 3. Деятельность, по</w:t>
      </w:r>
      <w:r w:rsidRPr="007F2703">
        <w:rPr>
          <w:b/>
        </w:rPr>
        <w:t>ддерживаемая в рамках программы</w:t>
      </w:r>
    </w:p>
    <w:p w14:paraId="13BE13DC" w14:textId="6AC6BEAF" w:rsidR="00D12CD6" w:rsidRDefault="00D12CD6" w:rsidP="00D12CD6">
      <w:pPr>
        <w:jc w:val="both"/>
      </w:pPr>
      <w:r>
        <w:t xml:space="preserve">(1) В рамках программы предоставляется поддержка владельцам частных жилых домов для осуществления следующих </w:t>
      </w:r>
      <w:r>
        <w:rPr>
          <w:lang w:val="ru-RU"/>
        </w:rPr>
        <w:t>акцептируемых</w:t>
      </w:r>
      <w:r>
        <w:t xml:space="preserve"> видов деятельности:</w:t>
      </w:r>
    </w:p>
    <w:p w14:paraId="5A36967C" w14:textId="635822B8" w:rsidR="00D12CD6" w:rsidRDefault="00D12CD6" w:rsidP="007F2703">
      <w:pPr>
        <w:pStyle w:val="ListParagraph"/>
        <w:numPr>
          <w:ilvl w:val="0"/>
          <w:numId w:val="2"/>
        </w:numPr>
        <w:jc w:val="both"/>
      </w:pPr>
      <w:r>
        <w:t xml:space="preserve">обновление внешней отделки фасадов жилых домов, включая утепление здания или его отдельных элементов, покраску либо </w:t>
      </w:r>
      <w:r w:rsidRPr="007F2703">
        <w:rPr>
          <w:lang w:val="ru-RU"/>
        </w:rPr>
        <w:t>отделку</w:t>
      </w:r>
      <w:r>
        <w:t>;</w:t>
      </w:r>
    </w:p>
    <w:p w14:paraId="47357CC2" w14:textId="6053A385" w:rsidR="00D12CD6" w:rsidRDefault="00D12CD6" w:rsidP="00D12CD6">
      <w:pPr>
        <w:pStyle w:val="ListParagraph"/>
        <w:numPr>
          <w:ilvl w:val="0"/>
          <w:numId w:val="2"/>
        </w:numPr>
        <w:jc w:val="both"/>
      </w:pPr>
      <w:r>
        <w:t xml:space="preserve">выполнение работ по водоснабжению </w:t>
      </w:r>
      <w:r w:rsidR="007F2703">
        <w:t>и канализации, включая бурение</w:t>
      </w:r>
      <w:r w:rsidR="007F2703">
        <w:rPr>
          <w:lang w:val="ru-RU"/>
        </w:rPr>
        <w:t>, устройство,</w:t>
      </w:r>
      <w:r>
        <w:t xml:space="preserve"> очистку скважин и колодцев, установку септиков, биологических очистных сооружений, герметичных ёмкостей для сточных вод, прокладку водопроводных и канализационных труб на участке, а также подключение к центральной системе водоснабжения и канализации (ЦВК);</w:t>
      </w:r>
    </w:p>
    <w:p w14:paraId="4810C0EC" w14:textId="6FC0D008" w:rsidR="00D12CD6" w:rsidRDefault="00D12CD6" w:rsidP="00EA76EB">
      <w:pPr>
        <w:pStyle w:val="ListParagraph"/>
        <w:numPr>
          <w:ilvl w:val="0"/>
          <w:numId w:val="2"/>
        </w:numPr>
        <w:jc w:val="both"/>
      </w:pPr>
      <w:r>
        <w:t>замена кровельного покрытия существующих жилых домов, при комплексном подходе также установка водосточной системы и восс</w:t>
      </w:r>
      <w:r>
        <w:t>тановление дымоходн</w:t>
      </w:r>
      <w:r>
        <w:rPr>
          <w:lang w:val="ru-RU"/>
        </w:rPr>
        <w:t>ых труб</w:t>
      </w:r>
      <w:r>
        <w:t>. К поддерживаемым расходам относятся: кровельный материал, подкладочная плёнка, дополнительные элементы и крепёж, деревянная обрешётка, торцевые и коньковые доски. Не поддерживаются расходы на материалы для стропил, стоимость монтажа, транспортные расходы и затраты на утилизацию строительных отходов.</w:t>
      </w:r>
    </w:p>
    <w:p w14:paraId="51BD3AB2" w14:textId="77777777" w:rsidR="00A9555D" w:rsidRDefault="001D6DAD" w:rsidP="00A9555D">
      <w:pPr>
        <w:jc w:val="both"/>
      </w:pPr>
      <w:r>
        <w:t xml:space="preserve">(2) В рамках программы предоставляется поддержка </w:t>
      </w:r>
      <w:r w:rsidR="00A9555D">
        <w:rPr>
          <w:lang w:val="ru-RU"/>
        </w:rPr>
        <w:t>квартирных товариществ</w:t>
      </w:r>
      <w:r>
        <w:t xml:space="preserve"> для осуществления следующих </w:t>
      </w:r>
      <w:r w:rsidR="00A9555D">
        <w:rPr>
          <w:lang w:val="ru-RU"/>
        </w:rPr>
        <w:t>акцептируемых</w:t>
      </w:r>
      <w:r>
        <w:t xml:space="preserve"> видов деятельности:</w:t>
      </w:r>
    </w:p>
    <w:p w14:paraId="15B60337" w14:textId="4F2BB921" w:rsidR="00A9555D" w:rsidRDefault="00A9555D" w:rsidP="007F2703">
      <w:pPr>
        <w:ind w:left="360" w:hanging="360"/>
        <w:jc w:val="both"/>
      </w:pPr>
      <w:r>
        <w:rPr>
          <w:lang w:val="ru-RU"/>
        </w:rPr>
        <w:t xml:space="preserve">1)  </w:t>
      </w:r>
      <w:r w:rsidR="001D6DAD">
        <w:t>обновление внешней отделки фасада многоквартирного дома, включая частичное или полное утепление фасада по периметру здания, восстановление оштукатуренных поверхностей, полную окраску фасада или установку отделочных материалов, замену окон в подъездах, замену входных дверей в подъездах, замену окон в подвалах, установку или ремонт козырьков над входами, ремонт цоколя и пандусов. Допустимыми к поддержке являются расходы на строительные материалы и услуги согласно предоставленному ценовому предложению. Не подлежат поддержке транспортные расходы и затраты на утилизацию строительных отходов;</w:t>
      </w:r>
    </w:p>
    <w:p w14:paraId="3E1791E6" w14:textId="7998329C" w:rsidR="001D6DAD" w:rsidRDefault="00A9555D" w:rsidP="00A9555D">
      <w:pPr>
        <w:jc w:val="both"/>
      </w:pPr>
      <w:r>
        <w:rPr>
          <w:lang w:val="ru-RU"/>
        </w:rPr>
        <w:t xml:space="preserve">2) </w:t>
      </w:r>
      <w:r w:rsidR="001D6DAD">
        <w:t xml:space="preserve">обновление кровельного покрытия многоквартирного дома, включая замену асбестосодержащих шиферных плит на черепицу, профилированный металл или фиброцементные плиты (за исключением асбестосодержащего шифера), утепление потолков под крышей, покрытие рулонными материалами </w:t>
      </w:r>
      <w:r>
        <w:t>(за исключением рубероида и ПВХ</w:t>
      </w:r>
      <w:r w:rsidR="001D6DAD">
        <w:t xml:space="preserve"> листов), установку водосточной системы, ремонт верхушек дымоходов и установку колпаков. Поддержке подлежат расходы на кровельные и теплоизоляционные материалы, подкладочные материалы, доборные элементы и крепёж, деревянную обрешётку, торцевые или коньковые доски и стоимость работ. Также поддерживаются расходы на материалы для водосточной системы, строительные материалы для </w:t>
      </w:r>
      <w:r w:rsidR="003E20EE">
        <w:rPr>
          <w:lang w:val="ru-RU"/>
        </w:rPr>
        <w:t xml:space="preserve">ремонта </w:t>
      </w:r>
      <w:r w:rsidR="003E20EE">
        <w:t>дымоходн</w:t>
      </w:r>
      <w:r w:rsidR="003E20EE">
        <w:rPr>
          <w:lang w:val="ru-RU"/>
        </w:rPr>
        <w:t xml:space="preserve">ых труб </w:t>
      </w:r>
      <w:r w:rsidR="001D6DAD">
        <w:t>и стоимость работ. Не поддерживаются расходы на материалы для стропил, стоимость монтажных работ, транспортные расходы и у</w:t>
      </w:r>
      <w:r>
        <w:t>тилизацию строительных отходов;</w:t>
      </w:r>
    </w:p>
    <w:p w14:paraId="29450C42" w14:textId="12FE35CA" w:rsidR="001D6DAD" w:rsidRDefault="001D6DAD" w:rsidP="00A9555D">
      <w:pPr>
        <w:jc w:val="both"/>
      </w:pPr>
      <w:r>
        <w:t xml:space="preserve">2¹) </w:t>
      </w:r>
      <w:r w:rsidR="00A9555D">
        <w:rPr>
          <w:lang w:val="ru-RU"/>
        </w:rPr>
        <w:t>Акцептируемым</w:t>
      </w:r>
      <w:r>
        <w:t xml:space="preserve"> видом деятельности является модернизация лифтовой системы многоквартирного дома, замена частей лифта и установка нового лифта. Не подлежат поддержке транспортировка материалов и утилизация строительных отходов.</w:t>
      </w:r>
    </w:p>
    <w:p w14:paraId="7FEBFF5F" w14:textId="059C7E17" w:rsidR="00A9555D" w:rsidRDefault="00A9555D" w:rsidP="00A9555D">
      <w:pPr>
        <w:jc w:val="both"/>
      </w:pPr>
      <w:r>
        <w:t>2</w:t>
      </w:r>
      <w:r w:rsidRPr="00A9555D">
        <w:rPr>
          <w:vertAlign w:val="superscript"/>
        </w:rPr>
        <w:t>2</w:t>
      </w:r>
      <w:r>
        <w:t xml:space="preserve">) </w:t>
      </w:r>
      <w:r w:rsidRPr="00A9555D">
        <w:t>Акцептируемым</w:t>
      </w:r>
      <w:r>
        <w:t xml:space="preserve"> видом деятельности является участие в финансировании (доля софинансирования) при полной реконструкции многоквартирного дома. В случае полной реконструкции жилого дома строительные работы могут быть начаты до подачи заявления. Работы должны быть завершены в том же календарном году, в котором подано заявление, а отчёт должен быть представлен в порядке, установленном в § 5, пункте 11 настоящего постановления.</w:t>
      </w:r>
    </w:p>
    <w:p w14:paraId="6DD36695" w14:textId="4E00C576" w:rsidR="00A9555D" w:rsidRDefault="00425EE8" w:rsidP="00A9555D">
      <w:pPr>
        <w:jc w:val="both"/>
      </w:pPr>
      <w:r>
        <w:t xml:space="preserve">3) </w:t>
      </w:r>
      <w:r w:rsidR="00A9555D">
        <w:t xml:space="preserve">В рамках программы поддержка предоставляется в пределах бюджета волости для частичной компенсации </w:t>
      </w:r>
      <w:r w:rsidR="00A9555D">
        <w:rPr>
          <w:lang w:val="ru-RU"/>
        </w:rPr>
        <w:t>акцептируемых</w:t>
      </w:r>
      <w:r w:rsidR="00A9555D">
        <w:t xml:space="preserve"> расходов владельцам частных домов и</w:t>
      </w:r>
      <w:r w:rsidR="00A9555D">
        <w:rPr>
          <w:lang w:val="ru-RU"/>
        </w:rPr>
        <w:t xml:space="preserve"> квартирным</w:t>
      </w:r>
      <w:r w:rsidR="00A9555D">
        <w:t xml:space="preserve"> товариществам.</w:t>
      </w:r>
    </w:p>
    <w:p w14:paraId="1CEC85D6" w14:textId="5DFF53AC" w:rsidR="00A9555D" w:rsidRDefault="00425EE8" w:rsidP="00A9555D">
      <w:pPr>
        <w:jc w:val="both"/>
      </w:pPr>
      <w:r>
        <w:t xml:space="preserve">4) </w:t>
      </w:r>
      <w:r w:rsidR="00A9555D">
        <w:t>Не подлежат поддержке вспомогательные постройки при жилых домах, производственные здания, бани, гаражи и иные нежилые строения.</w:t>
      </w:r>
    </w:p>
    <w:p w14:paraId="32B22385" w14:textId="40F9D073" w:rsidR="00A9555D" w:rsidRDefault="00425EE8" w:rsidP="00A9555D">
      <w:pPr>
        <w:jc w:val="both"/>
      </w:pPr>
      <w:r>
        <w:t xml:space="preserve">5) </w:t>
      </w:r>
      <w:r w:rsidR="00A9555D">
        <w:t xml:space="preserve">Не подлежат поддержке виды деятельности, целью которых является замена исправных конструктивных элементов здания или улучшение их внешнего вида </w:t>
      </w:r>
      <w:r w:rsidR="00A9555D">
        <w:rPr>
          <w:lang w:val="ru-RU"/>
        </w:rPr>
        <w:t>без технической необходимости</w:t>
      </w:r>
      <w:r w:rsidR="00A9555D">
        <w:t>.</w:t>
      </w:r>
    </w:p>
    <w:p w14:paraId="5B53F15B" w14:textId="17C59A2D" w:rsidR="00425EE8" w:rsidRDefault="003E20EE" w:rsidP="00425EE8">
      <w:pPr>
        <w:jc w:val="both"/>
      </w:pPr>
      <w:r>
        <w:rPr>
          <w:lang w:val="ru-RU"/>
        </w:rPr>
        <w:t>6</w:t>
      </w:r>
      <w:r w:rsidR="00425EE8">
        <w:t xml:space="preserve">) </w:t>
      </w:r>
      <w:r w:rsidR="00425EE8">
        <w:t xml:space="preserve">Владельцы частных домов, которым уже была предоставлена поддержка в рамках программы в предыдущем </w:t>
      </w:r>
      <w:r w:rsidR="00425EE8" w:rsidRPr="00425EE8">
        <w:t>предыдущем календарном году или которые не выполнили заявленные работы и не отказались от выделенной поддержки до 1 октября, не могут подавать повтор</w:t>
      </w:r>
      <w:r w:rsidR="00425EE8">
        <w:t>ные заявки в течение следующ</w:t>
      </w:r>
      <w:r w:rsidR="00425EE8">
        <w:rPr>
          <w:lang w:val="ru-RU"/>
        </w:rPr>
        <w:t>его года</w:t>
      </w:r>
      <w:r w:rsidR="00425EE8" w:rsidRPr="00425EE8">
        <w:t>.</w:t>
      </w:r>
    </w:p>
    <w:p w14:paraId="576606DC" w14:textId="07A0E80E" w:rsidR="00A9555D" w:rsidRDefault="003E20EE" w:rsidP="00425EE8">
      <w:pPr>
        <w:jc w:val="both"/>
      </w:pPr>
      <w:r>
        <w:rPr>
          <w:lang w:val="ru-RU"/>
        </w:rPr>
        <w:t>7) Квартирные товарищества</w:t>
      </w:r>
      <w:r w:rsidR="00425EE8">
        <w:t>, которым была предоставлена поддержка в предыдущем календарном году или которые не выполнили допустимые работы и не отказались от выделенной поддержки до 1 октября, не могут подавать повторные заявки в течение следующих двух лет.</w:t>
      </w:r>
    </w:p>
    <w:p w14:paraId="5F59FF8D" w14:textId="26292239" w:rsidR="00EA76EB" w:rsidRDefault="003E20EE" w:rsidP="003E20EE">
      <w:pPr>
        <w:jc w:val="both"/>
      </w:pPr>
      <w:r>
        <w:rPr>
          <w:lang w:val="ru-RU"/>
        </w:rPr>
        <w:t xml:space="preserve">(3) </w:t>
      </w:r>
      <w:r w:rsidR="00E3485B" w:rsidRPr="00E3485B">
        <w:t xml:space="preserve">Участник программы может в текущем году при необходимости подать заявку на получение поддержки по одному </w:t>
      </w:r>
      <w:r w:rsidR="00E3485B">
        <w:rPr>
          <w:lang w:val="ru-RU"/>
        </w:rPr>
        <w:t>акцептируемому</w:t>
      </w:r>
      <w:r w:rsidR="00E3485B" w:rsidRPr="00E3485B">
        <w:t xml:space="preserve"> виду деятельности.</w:t>
      </w:r>
    </w:p>
    <w:p w14:paraId="1AAD9DB1" w14:textId="54C123D8" w:rsidR="00EA76EB" w:rsidRPr="003E20EE" w:rsidRDefault="00EA76EB" w:rsidP="00BF1922">
      <w:pPr>
        <w:jc w:val="both"/>
        <w:rPr>
          <w:b/>
          <w:lang w:val="ru-RU"/>
        </w:rPr>
      </w:pPr>
      <w:r w:rsidRPr="003E20EE">
        <w:rPr>
          <w:b/>
        </w:rPr>
        <w:t xml:space="preserve">§ 4. </w:t>
      </w:r>
      <w:r w:rsidR="00E3485B" w:rsidRPr="003E20EE">
        <w:rPr>
          <w:b/>
          <w:lang w:val="ru-RU"/>
        </w:rPr>
        <w:t xml:space="preserve">Размеры поддержки </w:t>
      </w:r>
    </w:p>
    <w:p w14:paraId="35BBFF3B" w14:textId="35B4BF4D" w:rsidR="00E3485B" w:rsidRDefault="00E3485B" w:rsidP="00BF1922">
      <w:pPr>
        <w:pStyle w:val="ListParagraph"/>
        <w:numPr>
          <w:ilvl w:val="0"/>
          <w:numId w:val="5"/>
        </w:numPr>
        <w:jc w:val="both"/>
      </w:pPr>
      <w:r w:rsidRPr="00E3485B">
        <w:t xml:space="preserve">Размеры поддержки для проведения акцептированных положением работ </w:t>
      </w:r>
      <w:r>
        <w:t>для владельцев частных домов следующие:</w:t>
      </w:r>
    </w:p>
    <w:p w14:paraId="083B3F72" w14:textId="23B847D4" w:rsidR="00E3485B" w:rsidRDefault="00E3485B" w:rsidP="00BF1922">
      <w:pPr>
        <w:pStyle w:val="ListParagraph"/>
        <w:numPr>
          <w:ilvl w:val="0"/>
          <w:numId w:val="4"/>
        </w:numPr>
        <w:jc w:val="both"/>
      </w:pPr>
      <w:r>
        <w:t>30 % от стоимости материалов и работ по обновлению внешней отделки фасада жилого дома, но не более 3750 евро;</w:t>
      </w:r>
    </w:p>
    <w:p w14:paraId="396CC5C5" w14:textId="77777777" w:rsidR="00E3485B" w:rsidRDefault="00E3485B" w:rsidP="00BF1922">
      <w:pPr>
        <w:pStyle w:val="ListParagraph"/>
        <w:numPr>
          <w:ilvl w:val="0"/>
          <w:numId w:val="4"/>
        </w:numPr>
        <w:jc w:val="both"/>
      </w:pPr>
      <w:r>
        <w:t>30 % от стоимости материалов и работ по водоснабжению и канализации, но не более 3000 евро;</w:t>
      </w:r>
    </w:p>
    <w:p w14:paraId="1B3667C2" w14:textId="3F7D1D95" w:rsidR="00EA76EB" w:rsidRDefault="00E3485B" w:rsidP="00BF1922">
      <w:pPr>
        <w:pStyle w:val="ListParagraph"/>
        <w:numPr>
          <w:ilvl w:val="0"/>
          <w:numId w:val="4"/>
        </w:numPr>
        <w:jc w:val="both"/>
      </w:pPr>
      <w:r>
        <w:t>30 % от стоимости материалов и строительных работ по обновлению кровли (в случае комплексного решения — также расхо</w:t>
      </w:r>
      <w:r>
        <w:t>ды на восстановление дымоходной</w:t>
      </w:r>
      <w:r>
        <w:rPr>
          <w:lang w:val="ru-RU"/>
        </w:rPr>
        <w:t xml:space="preserve"> трубы </w:t>
      </w:r>
      <w:r>
        <w:t>и установку водосточной системы), но не более 3750 евро.</w:t>
      </w:r>
    </w:p>
    <w:p w14:paraId="3DEA89BC" w14:textId="77777777" w:rsidR="00E3485B" w:rsidRDefault="00EA76EB" w:rsidP="00BF1922">
      <w:pPr>
        <w:jc w:val="both"/>
      </w:pPr>
      <w:r>
        <w:t xml:space="preserve">(2) </w:t>
      </w:r>
      <w:r w:rsidR="00E3485B">
        <w:rPr>
          <w:lang w:val="ru-RU"/>
        </w:rPr>
        <w:t>Размеры поддержки для проведения акцептированных положением работ для квартирных товариществ</w:t>
      </w:r>
      <w:r>
        <w:t>:</w:t>
      </w:r>
    </w:p>
    <w:p w14:paraId="31A49F97" w14:textId="0ACB8CF0" w:rsidR="00E3485B" w:rsidRDefault="00E3485B" w:rsidP="00BF1922">
      <w:pPr>
        <w:jc w:val="both"/>
      </w:pPr>
      <w:r>
        <w:rPr>
          <w:lang w:val="ru-RU"/>
        </w:rPr>
        <w:t xml:space="preserve">1) </w:t>
      </w:r>
      <w:r>
        <w:t>Для многоквартирных домов с количеством квартир от 5 до 12 — 45 % от стоимости работ и материалов по обновлению фасада и замене кровельного пок</w:t>
      </w:r>
      <w:r>
        <w:t>рытия, но не более 11 700 евро;</w:t>
      </w:r>
    </w:p>
    <w:p w14:paraId="0E23B30D" w14:textId="3EECF592" w:rsidR="00E3485B" w:rsidRDefault="00E3485B" w:rsidP="00BF1922">
      <w:pPr>
        <w:jc w:val="both"/>
      </w:pPr>
      <w:r>
        <w:rPr>
          <w:lang w:val="ru-RU"/>
        </w:rPr>
        <w:t xml:space="preserve">2) </w:t>
      </w:r>
      <w:r w:rsidR="00BF1922" w:rsidRPr="00BF1922">
        <w:t xml:space="preserve">Для домов с количеством квартир от  </w:t>
      </w:r>
      <w:r w:rsidR="00BF1922">
        <w:t xml:space="preserve">13 до 28 </w:t>
      </w:r>
      <w:r>
        <w:t xml:space="preserve"> — 40 % от стоимости работ и материалов по обновлению фасада и замене к</w:t>
      </w:r>
      <w:r>
        <w:t>ровли, но не более 13 650 евро;</w:t>
      </w:r>
    </w:p>
    <w:p w14:paraId="6E01470E" w14:textId="314DF0B3" w:rsidR="00E3485B" w:rsidRDefault="00E3485B" w:rsidP="00BF1922">
      <w:pPr>
        <w:jc w:val="both"/>
      </w:pPr>
      <w:r>
        <w:rPr>
          <w:lang w:val="ru-RU"/>
        </w:rPr>
        <w:t xml:space="preserve">3) </w:t>
      </w:r>
      <w:r>
        <w:t>Для домов с</w:t>
      </w:r>
      <w:r w:rsidR="00BF1922">
        <w:t xml:space="preserve"> </w:t>
      </w:r>
      <w:r w:rsidR="00BF1922">
        <w:rPr>
          <w:lang w:val="ru-RU"/>
        </w:rPr>
        <w:t xml:space="preserve">количеством квартир от </w:t>
      </w:r>
      <w:r w:rsidR="00BF1922">
        <w:t xml:space="preserve"> 29 до 60 </w:t>
      </w:r>
      <w:r>
        <w:t xml:space="preserve"> — 35 % от стоимости работ и материалов по обновлению фасада и замене к</w:t>
      </w:r>
      <w:r>
        <w:t>ровли, но не более 15 000 евро;</w:t>
      </w:r>
    </w:p>
    <w:p w14:paraId="59E0EB35" w14:textId="4C377554" w:rsidR="00E3485B" w:rsidRDefault="00E3485B" w:rsidP="00BF1922">
      <w:pPr>
        <w:jc w:val="both"/>
      </w:pPr>
      <w:r>
        <w:rPr>
          <w:lang w:val="ru-RU"/>
        </w:rPr>
        <w:t xml:space="preserve">4) </w:t>
      </w:r>
      <w:r w:rsidR="00BF1922" w:rsidRPr="00BF1922">
        <w:t xml:space="preserve">Для домов с количеством квартир от  </w:t>
      </w:r>
      <w:r w:rsidR="00BF1922">
        <w:t xml:space="preserve">61 до 100 </w:t>
      </w:r>
      <w:r>
        <w:t xml:space="preserve"> — 30 % от стоимости работ и материалов по обновлению фасада и замене кровли, но не более 16 875 евро;</w:t>
      </w:r>
    </w:p>
    <w:p w14:paraId="72CC326B" w14:textId="7B3FAB5C" w:rsidR="00EA76EB" w:rsidRDefault="00E3485B" w:rsidP="00BF1922">
      <w:pPr>
        <w:jc w:val="both"/>
      </w:pPr>
      <w:r>
        <w:rPr>
          <w:lang w:val="ru-RU"/>
        </w:rPr>
        <w:t xml:space="preserve">5) </w:t>
      </w:r>
      <w:r w:rsidR="00BF1922" w:rsidRPr="00BF1922">
        <w:t xml:space="preserve">Для домов с количеством квартир от  </w:t>
      </w:r>
      <w:r w:rsidR="00BF1922">
        <w:t xml:space="preserve">101 до 120 </w:t>
      </w:r>
      <w:r>
        <w:t xml:space="preserve"> — 30 % от стоимости работ и материалов по обновлению фасада и замене кровли, но не более 18 750 евро.</w:t>
      </w:r>
      <w:r>
        <w:t xml:space="preserve"> </w:t>
      </w:r>
    </w:p>
    <w:p w14:paraId="619B1195" w14:textId="5051DBF6" w:rsidR="00EA76EB" w:rsidRDefault="00EA76EB" w:rsidP="00BF1922">
      <w:pPr>
        <w:jc w:val="both"/>
      </w:pPr>
      <w:r>
        <w:t>(3</w:t>
      </w:r>
      <w:r w:rsidR="00E3485B">
        <w:t xml:space="preserve">) </w:t>
      </w:r>
      <w:r w:rsidR="00E3485B" w:rsidRPr="00E3485B">
        <w:t>В отношении допустимых видов деятельности, указанных в пунктах 1¹ и 1² части 2 § 3 настоящего постановления, применяются предельные размеры поддержки, установленные в части 2 настоящего параграфа.</w:t>
      </w:r>
    </w:p>
    <w:p w14:paraId="0590FDDB" w14:textId="52719106" w:rsidR="00E3485B" w:rsidRPr="00BF1922" w:rsidRDefault="00E3485B" w:rsidP="00E3485B">
      <w:pPr>
        <w:rPr>
          <w:b/>
        </w:rPr>
      </w:pPr>
      <w:r w:rsidRPr="00BF1922">
        <w:rPr>
          <w:b/>
        </w:rPr>
        <w:t xml:space="preserve">§ </w:t>
      </w:r>
      <w:r w:rsidR="001A0767" w:rsidRPr="00BF1922">
        <w:rPr>
          <w:b/>
        </w:rPr>
        <w:t>5. Порядок реализации программы</w:t>
      </w:r>
    </w:p>
    <w:p w14:paraId="66F29817" w14:textId="68CB25B5" w:rsidR="00E3485B" w:rsidRDefault="00E3485B" w:rsidP="001A0767">
      <w:pPr>
        <w:jc w:val="both"/>
      </w:pPr>
      <w:r>
        <w:t xml:space="preserve">(1) Владелец частного дома, совладельцы или их уполномоченный представитель, член правления </w:t>
      </w:r>
      <w:r w:rsidR="001A0767">
        <w:rPr>
          <w:lang w:val="ru-RU"/>
        </w:rPr>
        <w:t xml:space="preserve">квартирного товарищества </w:t>
      </w:r>
      <w:r>
        <w:t xml:space="preserve">либо уполномоченный представитель подаёт до начала выполнения </w:t>
      </w:r>
      <w:r w:rsidR="001A0767">
        <w:rPr>
          <w:lang w:val="ru-RU"/>
        </w:rPr>
        <w:t>акцептируемого</w:t>
      </w:r>
      <w:r>
        <w:t xml:space="preserve"> вида</w:t>
      </w:r>
      <w:r w:rsidR="001A0767">
        <w:t xml:space="preserve"> </w:t>
      </w:r>
      <w:r w:rsidR="00BF1922">
        <w:rPr>
          <w:lang w:val="ru-RU"/>
        </w:rPr>
        <w:t>работ</w:t>
      </w:r>
      <w:r w:rsidR="001A0767">
        <w:t xml:space="preserve"> в волостн</w:t>
      </w:r>
      <w:r w:rsidR="001A0767">
        <w:rPr>
          <w:lang w:val="ru-RU"/>
        </w:rPr>
        <w:t xml:space="preserve">ое управление </w:t>
      </w:r>
      <w:r>
        <w:t xml:space="preserve"> Люганузе (далее — уполномоченный орган) оформленное по форме заявление (далее — заявление) (Приложение 1 или Приложение 2), а при необходимости — доверенность и действующее ценовое предложение или смету, содержащую </w:t>
      </w:r>
      <w:r w:rsidR="001A0767">
        <w:t>предполагаемую стоимость работ.</w:t>
      </w:r>
    </w:p>
    <w:p w14:paraId="3338557B" w14:textId="44161D18" w:rsidR="00E3485B" w:rsidRDefault="00E3485B" w:rsidP="001A0767">
      <w:pPr>
        <w:jc w:val="both"/>
      </w:pPr>
      <w:r>
        <w:t>(1¹) В случае подачи заявки на получение поддержки на долевое участие в полной реконструкции многоквартирного дома, указанной в пункте 1² части 2 § 3 настоящего постановления, необходимо дополнительно представить уведомление о строительстве, поданно</w:t>
      </w:r>
      <w:r w:rsidR="001A0767">
        <w:t>е до начала строительных работ.</w:t>
      </w:r>
    </w:p>
    <w:p w14:paraId="750DD67B" w14:textId="0B83E502" w:rsidR="00EA76EB" w:rsidRDefault="00E3485B" w:rsidP="001A0767">
      <w:pPr>
        <w:jc w:val="both"/>
      </w:pPr>
      <w:r>
        <w:t xml:space="preserve">(2) Заявление на получение поддержки подаётся </w:t>
      </w:r>
      <w:r w:rsidR="00BF1922">
        <w:rPr>
          <w:lang w:val="ru-RU"/>
        </w:rPr>
        <w:t>на бумажном носителе</w:t>
      </w:r>
      <w:r>
        <w:t xml:space="preserve"> в канцелярию уполномоченного органа по адресу: </w:t>
      </w:r>
      <w:r w:rsidR="001A0767">
        <w:rPr>
          <w:lang w:val="ru-RU"/>
        </w:rPr>
        <w:t>Кескпуйэстеэ</w:t>
      </w:r>
      <w:r>
        <w:t xml:space="preserve"> 20, г. Кивиыли, волость Люганузе, либо в форме, подписанной цифровой подписью, на адрес электронной почты: valitsus@lyganuse.ee. Заявления можно подавать с первого рабочего дня февраля текущего года до 31 октября текущего года. Все поступившие заявления регистрируются в порядке их поступления.</w:t>
      </w:r>
    </w:p>
    <w:p w14:paraId="57196789" w14:textId="27A30252" w:rsidR="001A0767" w:rsidRDefault="001A0767" w:rsidP="001A0767">
      <w:pPr>
        <w:jc w:val="both"/>
      </w:pPr>
      <w:r>
        <w:t xml:space="preserve">(3) </w:t>
      </w:r>
      <w:r>
        <w:t>Уполномоченное должностное лицо уполномоченного органа (далее — должностное лицо) имеет право отклонить заявление, если:</w:t>
      </w:r>
    </w:p>
    <w:p w14:paraId="2F6805E1" w14:textId="77777777" w:rsidR="001A0767" w:rsidRDefault="001A0767" w:rsidP="001A0767">
      <w:pPr>
        <w:jc w:val="both"/>
      </w:pPr>
      <w:r>
        <w:t xml:space="preserve">1) </w:t>
      </w:r>
      <w:r>
        <w:t>не представлено действительное</w:t>
      </w:r>
      <w:r>
        <w:t xml:space="preserve"> ценовое предложение или смета;</w:t>
      </w:r>
    </w:p>
    <w:p w14:paraId="264BDB3B" w14:textId="0EBD5EF4" w:rsidR="001A0767" w:rsidRDefault="001A0767" w:rsidP="001A0767">
      <w:pPr>
        <w:jc w:val="both"/>
      </w:pPr>
      <w:r>
        <w:t xml:space="preserve">2) </w:t>
      </w:r>
      <w:r>
        <w:t>запрашивается поддержка на</w:t>
      </w:r>
      <w:r w:rsidR="00BF1922">
        <w:rPr>
          <w:lang w:val="ru-RU"/>
        </w:rPr>
        <w:t xml:space="preserve"> неакцептируемый вид работ</w:t>
      </w:r>
      <w:r>
        <w:t>;</w:t>
      </w:r>
    </w:p>
    <w:p w14:paraId="7455FDC0" w14:textId="534C0D31" w:rsidR="001A0767" w:rsidRDefault="001A0767" w:rsidP="001A0767">
      <w:pPr>
        <w:jc w:val="both"/>
      </w:pPr>
      <w:r>
        <w:t xml:space="preserve">3) </w:t>
      </w:r>
      <w:r>
        <w:t>деятельность начата до подачи заявления, за исключением полной рекон</w:t>
      </w:r>
      <w:r>
        <w:t>струкции многоквартирного дома;</w:t>
      </w:r>
    </w:p>
    <w:p w14:paraId="4CF1E5E5" w14:textId="7B942168" w:rsidR="001A0767" w:rsidRDefault="001A0767" w:rsidP="001A0767">
      <w:pPr>
        <w:jc w:val="both"/>
      </w:pPr>
      <w:r>
        <w:t xml:space="preserve">4) </w:t>
      </w:r>
      <w:r>
        <w:t>все средства, выделенные из бюджета, уже полностью зарезервированы;</w:t>
      </w:r>
    </w:p>
    <w:p w14:paraId="0C213F55" w14:textId="324D2FA5" w:rsidR="00EA76EB" w:rsidRDefault="001A0767" w:rsidP="001A0767">
      <w:pPr>
        <w:jc w:val="both"/>
      </w:pPr>
      <w:r>
        <w:t xml:space="preserve">5) </w:t>
      </w:r>
      <w:r>
        <w:t>участник подаёт заявление на выполнение работ, на которые ранее уже была предоставлена поддержка.</w:t>
      </w:r>
    </w:p>
    <w:p w14:paraId="297F377B" w14:textId="2CCF2E19" w:rsidR="001A0767" w:rsidRDefault="001A0767" w:rsidP="001A0767">
      <w:pPr>
        <w:jc w:val="both"/>
      </w:pPr>
      <w:r>
        <w:t xml:space="preserve">(4) После рассмотрения заявлений должностное лицо резервирует в порядке поступления заявлений сумму поддержки из предусмотренных в бюджете средств в пределах предельного размера, установленного в § 4, исходя из стоимости </w:t>
      </w:r>
      <w:r w:rsidR="00BF1922">
        <w:rPr>
          <w:lang w:val="ru-RU"/>
        </w:rPr>
        <w:t>акцептируемых</w:t>
      </w:r>
      <w:r>
        <w:t xml:space="preserve"> </w:t>
      </w:r>
      <w:r w:rsidR="00BF1922">
        <w:rPr>
          <w:lang w:val="ru-RU"/>
        </w:rPr>
        <w:t>работ</w:t>
      </w:r>
      <w:r>
        <w:t>, подтверждённой ценовым предложением или сметой, но не превышающую максимальную сумму, допустимую в частях 1 и 2.</w:t>
      </w:r>
    </w:p>
    <w:p w14:paraId="1FC2EA5C" w14:textId="0B9F4ABC" w:rsidR="001A0767" w:rsidRDefault="001A0767" w:rsidP="001A0767">
      <w:pPr>
        <w:jc w:val="both"/>
      </w:pPr>
      <w:r>
        <w:t>(5) При необходимости уполномоченный орган может выдать участнику гарантийное письмо в пр</w:t>
      </w:r>
      <w:r>
        <w:t>еделах зарезервированной суммы.</w:t>
      </w:r>
    </w:p>
    <w:p w14:paraId="0124CCE3" w14:textId="13A58D23" w:rsidR="00EA76EB" w:rsidRDefault="001A0767" w:rsidP="00BF1922">
      <w:pPr>
        <w:jc w:val="both"/>
      </w:pPr>
      <w:r>
        <w:t>(6) После того как все предусмотренные в бюджете средства будут зарезервированы, оставшиеся заявления не подлежат финансированию до момента высвобождения средств из ранее зарезервированных проектов. Уполномоченный орган информирует о завершении бюджетного финансирования на веб-сайте волости. Освободившиеся средства используются для финансирования следующих по очереди заявлений, которые ранее не получили поддержку.</w:t>
      </w:r>
    </w:p>
    <w:p w14:paraId="769D5626" w14:textId="14F25EC4" w:rsidR="001A0767" w:rsidRDefault="001A0767" w:rsidP="00BF1922">
      <w:pPr>
        <w:jc w:val="both"/>
      </w:pPr>
      <w:r>
        <w:t xml:space="preserve">(7) Уполномоченный орган может при необходимости назначить дополнительную поддержку на виды деятельности, которые ранее получили сумму ниже установленного предела, </w:t>
      </w:r>
      <w:r>
        <w:t>за счёт освободившихся средств.</w:t>
      </w:r>
    </w:p>
    <w:p w14:paraId="271FDE61" w14:textId="409E0F40" w:rsidR="001A0767" w:rsidRDefault="001A0767" w:rsidP="001A0767">
      <w:pPr>
        <w:jc w:val="both"/>
      </w:pPr>
      <w:r>
        <w:t xml:space="preserve">(8) До начала </w:t>
      </w:r>
      <w:r w:rsidR="00BF1922">
        <w:rPr>
          <w:lang w:val="ru-RU"/>
        </w:rPr>
        <w:t>ремонтных работ</w:t>
      </w:r>
      <w:r>
        <w:t xml:space="preserve"> строительный специалист обязан ознакомиться с состоянием объекта и зафиксировать текущее состояние здания в цифровом виде (фотографии) не позднее чем в течение одной нед</w:t>
      </w:r>
      <w:r>
        <w:t>ели с момента подачи заявления.</w:t>
      </w:r>
    </w:p>
    <w:p w14:paraId="64B74069" w14:textId="1C61ADEA" w:rsidR="001A0767" w:rsidRDefault="001A0767" w:rsidP="001A0767">
      <w:pPr>
        <w:jc w:val="both"/>
      </w:pPr>
      <w:r>
        <w:t>(9) В случае, если для строительства требуется подача уведомления о строительстве, должностное лицо имеет право до начала строительных работ потребовать представления соответствующего уведомления, а при необходим</w:t>
      </w:r>
      <w:r>
        <w:t>ости — и строительного проекта.</w:t>
      </w:r>
    </w:p>
    <w:p w14:paraId="54CAA891" w14:textId="6141CEE2" w:rsidR="001A0767" w:rsidRDefault="001A0767" w:rsidP="001A0767">
      <w:pPr>
        <w:jc w:val="both"/>
      </w:pPr>
      <w:r>
        <w:t xml:space="preserve">(10) </w:t>
      </w:r>
      <w:r w:rsidR="00BF1922">
        <w:rPr>
          <w:lang w:val="ru-RU"/>
        </w:rPr>
        <w:t>Стоительную</w:t>
      </w:r>
      <w:r>
        <w:t xml:space="preserve"> деятельность можно начинать после фиксации состояния объекта или по истечении 10 дней с момента подачи уведомления о строительстве. Уведомление о строительстве должно быть подано через строительный регистр не менее чем </w:t>
      </w:r>
      <w:r>
        <w:t>за десять дней до начала работ.</w:t>
      </w:r>
    </w:p>
    <w:p w14:paraId="1A5EF23B" w14:textId="0C98A6AA" w:rsidR="00EA76EB" w:rsidRDefault="001A0767" w:rsidP="000D40C1">
      <w:pPr>
        <w:jc w:val="both"/>
      </w:pPr>
      <w:r>
        <w:t xml:space="preserve">(11) Для выплаты утверждённой поддержки </w:t>
      </w:r>
      <w:r w:rsidR="00BF1922">
        <w:rPr>
          <w:lang w:val="ru-RU"/>
        </w:rPr>
        <w:t>акцептируемая</w:t>
      </w:r>
      <w:r>
        <w:t xml:space="preserve"> деятельность должна быть полностью завершена, и отчёт по установленной форме программы (Приложение 4), вместе с копиями или оригиналами всех платёжных и расчётных документов, должен быть представлен в уполномоченный орган не позднее 30 ноября текущего года. Отчёт и прилагаемые документы можно представить на бумажном носителе либо в цифровом виде с электронной подписью на электронную почту: valitsus@lyganuse.ee. Не подлежит поддержке деятельность, начатая (за исключением полной реконструкции многоквартирного дома) или завершённая до подачи заявления на участие в программе, а также та, по которой отчёт подан позже 30 ноября текущего года.</w:t>
      </w:r>
    </w:p>
    <w:p w14:paraId="79F5BAD8" w14:textId="5C841586" w:rsidR="001A0767" w:rsidRDefault="001A0767" w:rsidP="000D40C1">
      <w:pPr>
        <w:jc w:val="both"/>
      </w:pPr>
      <w:r>
        <w:t>(12) После подачи отчёта строительный специалист обязан ознакомиться с текущим состоянием объекта и зафиксировать новое состояние здания в цифровом виде (фотографии) не позднее чем через две недели с момента подачи</w:t>
      </w:r>
      <w:r>
        <w:t xml:space="preserve"> отчёта по установленной форме.</w:t>
      </w:r>
    </w:p>
    <w:p w14:paraId="29890037" w14:textId="39E99C08" w:rsidR="001A0767" w:rsidRDefault="001A0767" w:rsidP="000D40C1">
      <w:pPr>
        <w:jc w:val="both"/>
      </w:pPr>
      <w:r>
        <w:t xml:space="preserve">(13) Расходы на </w:t>
      </w:r>
      <w:r w:rsidR="00873011">
        <w:rPr>
          <w:lang w:val="ru-RU"/>
        </w:rPr>
        <w:t>акцептируемую</w:t>
      </w:r>
      <w:r>
        <w:t xml:space="preserve"> деятельность утверждаются, а размер поддержки определяется постановлением волостной управы Люганузе. Выплата поддержки осуществляется на расчётный счёт участника или его уполномоченного представителя, указанный в заявлении, не позднее чем в течение 10 рабочих дней с момента вступления постановления в</w:t>
      </w:r>
      <w:r>
        <w:t xml:space="preserve"> силу.</w:t>
      </w:r>
    </w:p>
    <w:p w14:paraId="51FF256C" w14:textId="3539A03E" w:rsidR="001A0767" w:rsidRDefault="001A0767" w:rsidP="000D40C1">
      <w:pPr>
        <w:jc w:val="both"/>
      </w:pPr>
      <w:r>
        <w:t>(14) В случае, если требуется подача уведомления о введении объекта в эксплуатацию, выплата производится только после представления такого уведомле</w:t>
      </w:r>
      <w:r>
        <w:t>ния через строительный регистр.</w:t>
      </w:r>
    </w:p>
    <w:p w14:paraId="6143BC3C" w14:textId="474037C7" w:rsidR="00EA76EB" w:rsidRDefault="001A0767" w:rsidP="000D40C1">
      <w:pPr>
        <w:jc w:val="both"/>
      </w:pPr>
      <w:r>
        <w:t xml:space="preserve">(15) В обоснованных исключительных случаях волостная управа может принять решение о предоставлении поддержки товариществу собственников квартир на основании акта приёмки за выполненную </w:t>
      </w:r>
      <w:r w:rsidR="00873011">
        <w:rPr>
          <w:lang w:val="ru-RU"/>
        </w:rPr>
        <w:t>работу</w:t>
      </w:r>
      <w:r>
        <w:t xml:space="preserve"> — в соответствии с представленными финансовыми документами и пропорционально установленной доле поддержки.</w:t>
      </w:r>
    </w:p>
    <w:p w14:paraId="42169195" w14:textId="4F09DB4C" w:rsidR="000D40C1" w:rsidRPr="00873011" w:rsidRDefault="000D40C1" w:rsidP="000D40C1">
      <w:pPr>
        <w:jc w:val="both"/>
        <w:rPr>
          <w:b/>
        </w:rPr>
      </w:pPr>
      <w:r w:rsidRPr="00873011">
        <w:rPr>
          <w:b/>
        </w:rPr>
        <w:t xml:space="preserve">§ 6. </w:t>
      </w:r>
      <w:r w:rsidRPr="00873011">
        <w:rPr>
          <w:b/>
          <w:lang w:val="ru-RU"/>
        </w:rPr>
        <w:t>Прикладные</w:t>
      </w:r>
      <w:r w:rsidRPr="00873011">
        <w:rPr>
          <w:b/>
        </w:rPr>
        <w:t xml:space="preserve"> положения</w:t>
      </w:r>
    </w:p>
    <w:p w14:paraId="6B32B05A" w14:textId="4712A1B1" w:rsidR="000D40C1" w:rsidRDefault="000D40C1" w:rsidP="000D40C1">
      <w:pPr>
        <w:jc w:val="both"/>
      </w:pPr>
      <w:r>
        <w:t>(1) Список участников, получивших финансирование в рамках программы на основании поданных заявлений, подлежит опубликованию на</w:t>
      </w:r>
      <w:r>
        <w:t xml:space="preserve"> официальном веб-сайте волости.</w:t>
      </w:r>
    </w:p>
    <w:p w14:paraId="4401BE34" w14:textId="2CAAFC46" w:rsidR="000D40C1" w:rsidRDefault="000D40C1" w:rsidP="000D40C1">
      <w:pPr>
        <w:jc w:val="both"/>
      </w:pPr>
      <w:r>
        <w:t xml:space="preserve">(2) Волостная управа представляет Волостному собранию Люганузе обзор об использовании средств программы и о </w:t>
      </w:r>
      <w:r w:rsidR="00873011">
        <w:rPr>
          <w:lang w:val="ru-RU"/>
        </w:rPr>
        <w:t>выполненных работах</w:t>
      </w:r>
      <w:r>
        <w:t xml:space="preserve"> на заседании волостного собрания в м</w:t>
      </w:r>
      <w:r>
        <w:t>арте каждого календарного года.</w:t>
      </w:r>
    </w:p>
    <w:p w14:paraId="11EABB71" w14:textId="7321589D" w:rsidR="000D40C1" w:rsidRDefault="000D40C1" w:rsidP="000D40C1">
      <w:pPr>
        <w:jc w:val="both"/>
      </w:pPr>
      <w:r>
        <w:t>(</w:t>
      </w:r>
      <w:r>
        <w:rPr>
          <w:lang w:val="ru-RU"/>
        </w:rPr>
        <w:t>3</w:t>
      </w:r>
      <w:r>
        <w:t>) Настоящее постановление вступает в силу 1 января 2023 года.</w:t>
      </w:r>
    </w:p>
    <w:p w14:paraId="75259CC3" w14:textId="77777777" w:rsidR="000D40C1" w:rsidRDefault="000D40C1" w:rsidP="000D40C1">
      <w:pPr>
        <w:jc w:val="both"/>
      </w:pPr>
    </w:p>
    <w:p w14:paraId="3EFBE651" w14:textId="77777777" w:rsidR="000D40C1" w:rsidRDefault="000D40C1" w:rsidP="000D40C1">
      <w:pPr>
        <w:jc w:val="both"/>
      </w:pPr>
      <w:r>
        <w:t>Приложение 1 — Форма заявления (для частного дома)</w:t>
      </w:r>
    </w:p>
    <w:p w14:paraId="60BF8678" w14:textId="2B33D18F" w:rsidR="000D40C1" w:rsidRDefault="000D40C1" w:rsidP="000D40C1">
      <w:pPr>
        <w:jc w:val="both"/>
      </w:pPr>
      <w:r>
        <w:t xml:space="preserve">Приложение 2 — Форма заявления (для </w:t>
      </w:r>
      <w:r w:rsidR="00873011">
        <w:rPr>
          <w:lang w:val="ru-RU"/>
        </w:rPr>
        <w:t>квартирного товарищества</w:t>
      </w:r>
      <w:r>
        <w:t>)</w:t>
      </w:r>
    </w:p>
    <w:p w14:paraId="54A057DE" w14:textId="2E9689A7" w:rsidR="00DA56B6" w:rsidRDefault="000D40C1" w:rsidP="000D40C1">
      <w:pPr>
        <w:jc w:val="both"/>
      </w:pPr>
      <w:r>
        <w:t>Приложение 3 — Форма отчёта</w:t>
      </w:r>
      <w:bookmarkStart w:id="0" w:name="_GoBack"/>
      <w:bookmarkEnd w:id="0"/>
    </w:p>
    <w:sectPr w:rsidR="00DA56B6" w:rsidSect="00F21B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0980"/>
    <w:multiLevelType w:val="hybridMultilevel"/>
    <w:tmpl w:val="8E70D9F0"/>
    <w:lvl w:ilvl="0" w:tplc="62C21E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359EE"/>
    <w:multiLevelType w:val="hybridMultilevel"/>
    <w:tmpl w:val="806A0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C7169"/>
    <w:multiLevelType w:val="hybridMultilevel"/>
    <w:tmpl w:val="EB5E2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0083B"/>
    <w:multiLevelType w:val="hybridMultilevel"/>
    <w:tmpl w:val="05468B7C"/>
    <w:lvl w:ilvl="0" w:tplc="BE044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A2AEF"/>
    <w:multiLevelType w:val="hybridMultilevel"/>
    <w:tmpl w:val="9DDC7764"/>
    <w:lvl w:ilvl="0" w:tplc="289E7F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EB"/>
    <w:rsid w:val="000D40C1"/>
    <w:rsid w:val="001A0767"/>
    <w:rsid w:val="001D6DAD"/>
    <w:rsid w:val="003E20EE"/>
    <w:rsid w:val="00425EE8"/>
    <w:rsid w:val="00726C3A"/>
    <w:rsid w:val="00782351"/>
    <w:rsid w:val="007F2703"/>
    <w:rsid w:val="00823348"/>
    <w:rsid w:val="00873011"/>
    <w:rsid w:val="00A9555D"/>
    <w:rsid w:val="00AB1D18"/>
    <w:rsid w:val="00B46D29"/>
    <w:rsid w:val="00BF1922"/>
    <w:rsid w:val="00D12CD6"/>
    <w:rsid w:val="00DA56B6"/>
    <w:rsid w:val="00DF16E1"/>
    <w:rsid w:val="00E3485B"/>
    <w:rsid w:val="00EA76EB"/>
    <w:rsid w:val="00F2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B20C"/>
  <w15:chartTrackingRefBased/>
  <w15:docId w15:val="{6CC367F0-C04D-47D1-AFD0-C235653D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6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6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6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6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6E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2182</Words>
  <Characters>14786</Characters>
  <Application>Microsoft Office Word</Application>
  <DocSecurity>0</DocSecurity>
  <Lines>246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Ehitusnõunik</dc:creator>
  <cp:keywords/>
  <dc:description/>
  <cp:lastModifiedBy>Olga Bulajeva</cp:lastModifiedBy>
  <cp:revision>2</cp:revision>
  <cp:lastPrinted>2025-05-12T11:22:00Z</cp:lastPrinted>
  <dcterms:created xsi:type="dcterms:W3CDTF">2025-05-12T12:36:00Z</dcterms:created>
  <dcterms:modified xsi:type="dcterms:W3CDTF">2025-05-12T12:36:00Z</dcterms:modified>
</cp:coreProperties>
</file>